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5B6" w:rsidRDefault="004B1006">
      <w:pPr>
        <w:spacing w:before="240" w:after="120" w:line="360" w:lineRule="auto"/>
        <w:ind w:left="0" w:hanging="2"/>
        <w:jc w:val="both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  <w:u w:val="single"/>
        </w:rPr>
        <w:t>VISTO:</w:t>
      </w:r>
    </w:p>
    <w:p w:rsidR="003065B6" w:rsidRDefault="004B1006">
      <w:pPr>
        <w:spacing w:line="360" w:lineRule="auto"/>
        <w:ind w:left="0" w:hanging="2"/>
        <w:jc w:val="both"/>
        <w:rPr>
          <w:rFonts w:ascii="Arial" w:eastAsia="Arial" w:hAnsi="Arial" w:cs="Arial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</w:rPr>
        <w:t xml:space="preserve">La Ordenanza 4030, modificada por Ordenanza 4561 y </w:t>
      </w:r>
      <w:proofErr w:type="spellStart"/>
      <w:r>
        <w:rPr>
          <w:rFonts w:ascii="Arial" w:eastAsia="Arial" w:hAnsi="Arial" w:cs="Arial"/>
        </w:rPr>
        <w:t>covalidada</w:t>
      </w:r>
      <w:proofErr w:type="spellEnd"/>
      <w:r>
        <w:rPr>
          <w:rFonts w:ascii="Arial" w:eastAsia="Arial" w:hAnsi="Arial" w:cs="Arial"/>
        </w:rPr>
        <w:t xml:space="preserve"> por Decreto Provincial n° 270 del año 2014 -Plan de Desarrollo Territorial de </w:t>
      </w:r>
      <w:proofErr w:type="spellStart"/>
      <w:r>
        <w:rPr>
          <w:rFonts w:ascii="Arial" w:eastAsia="Arial" w:hAnsi="Arial" w:cs="Arial"/>
        </w:rPr>
        <w:t>Chascomus</w:t>
      </w:r>
      <w:proofErr w:type="spellEnd"/>
      <w:r>
        <w:rPr>
          <w:rFonts w:ascii="Arial" w:eastAsia="Arial" w:hAnsi="Arial" w:cs="Arial"/>
        </w:rPr>
        <w:t xml:space="preserve"> y la Ordenanza 5329 que reglamenta distintos aspectos relacionados a los productos </w:t>
      </w:r>
      <w:proofErr w:type="spellStart"/>
      <w:r>
        <w:rPr>
          <w:rFonts w:ascii="Arial" w:eastAsia="Arial" w:hAnsi="Arial" w:cs="Arial"/>
        </w:rPr>
        <w:t>agroquimicos</w:t>
      </w:r>
      <w:proofErr w:type="spellEnd"/>
      <w:r>
        <w:rPr>
          <w:rFonts w:ascii="Arial" w:eastAsia="Arial" w:hAnsi="Arial" w:cs="Arial"/>
        </w:rPr>
        <w:t>; y</w:t>
      </w:r>
    </w:p>
    <w:p w:rsidR="003065B6" w:rsidRDefault="004B1006">
      <w:pPr>
        <w:spacing w:before="240" w:after="120" w:line="360" w:lineRule="auto"/>
        <w:ind w:left="0" w:hanging="2"/>
        <w:jc w:val="both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  <w:u w:val="single"/>
        </w:rPr>
        <w:t>CONSIDE</w:t>
      </w:r>
      <w:r>
        <w:rPr>
          <w:rFonts w:ascii="Arial" w:eastAsia="Arial" w:hAnsi="Arial" w:cs="Arial"/>
          <w:b/>
          <w:u w:val="single"/>
        </w:rPr>
        <w:t>RANDO:</w:t>
      </w:r>
    </w:p>
    <w:p w:rsidR="003065B6" w:rsidRDefault="004B1006">
      <w:pPr>
        <w:spacing w:after="0"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Que el Capítulo VIII.19 de la referida Ordenanza 4030, modificada por Ordenanza 4561 trata sobre los Depósitos y los clasifica por su grado de molestia, insalubridad y peligrosidad.</w:t>
      </w:r>
    </w:p>
    <w:p w:rsidR="003065B6" w:rsidRDefault="004B1006">
      <w:pPr>
        <w:spacing w:after="0" w:line="360" w:lineRule="auto"/>
        <w:ind w:left="0" w:hanging="2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Que</w:t>
      </w:r>
      <w:proofErr w:type="gramEnd"/>
      <w:r>
        <w:rPr>
          <w:rFonts w:ascii="Arial" w:eastAsia="Arial" w:hAnsi="Arial" w:cs="Arial"/>
        </w:rPr>
        <w:t xml:space="preserve"> a su vez, el Capítulo VIII.19.3 se refiere a los Depósitos clas</w:t>
      </w:r>
      <w:r>
        <w:rPr>
          <w:rFonts w:ascii="Arial" w:eastAsia="Arial" w:hAnsi="Arial" w:cs="Arial"/>
        </w:rPr>
        <w:t>e 3, definiéndolos como: “…</w:t>
      </w:r>
      <w:r>
        <w:rPr>
          <w:rFonts w:ascii="Arial" w:eastAsia="Arial" w:hAnsi="Arial" w:cs="Arial"/>
          <w:i/>
        </w:rPr>
        <w:t xml:space="preserve">aquellos que involucran a sustancias o mezclas de </w:t>
      </w:r>
      <w:proofErr w:type="spellStart"/>
      <w:r>
        <w:rPr>
          <w:rFonts w:ascii="Arial" w:eastAsia="Arial" w:hAnsi="Arial" w:cs="Arial"/>
          <w:i/>
        </w:rPr>
        <w:t>liquidos</w:t>
      </w:r>
      <w:proofErr w:type="spellEnd"/>
      <w:r>
        <w:rPr>
          <w:rFonts w:ascii="Arial" w:eastAsia="Arial" w:hAnsi="Arial" w:cs="Arial"/>
          <w:i/>
        </w:rPr>
        <w:t xml:space="preserve"> o gases clasificados como explosivos, inflamables de primera y/o inflamables de segunda. Ley 19.587, Decreto </w:t>
      </w:r>
      <w:proofErr w:type="spellStart"/>
      <w:r>
        <w:rPr>
          <w:rFonts w:ascii="Arial" w:eastAsia="Arial" w:hAnsi="Arial" w:cs="Arial"/>
          <w:i/>
        </w:rPr>
        <w:t>Reglamantario</w:t>
      </w:r>
      <w:proofErr w:type="spellEnd"/>
      <w:r>
        <w:rPr>
          <w:rFonts w:ascii="Arial" w:eastAsia="Arial" w:hAnsi="Arial" w:cs="Arial"/>
          <w:i/>
        </w:rPr>
        <w:t xml:space="preserve"> 351/79, Capítulo 18, Anexo 7, punto 1.5.1, 1.5.</w:t>
      </w:r>
      <w:r>
        <w:rPr>
          <w:rFonts w:ascii="Arial" w:eastAsia="Arial" w:hAnsi="Arial" w:cs="Arial"/>
          <w:i/>
        </w:rPr>
        <w:t xml:space="preserve">2 y 1.5.3 y que ambientalmente se clasifican como Riesgosos, porque su funcionamiento implica un riesgo para la seguridad, salubridad e higiene de la </w:t>
      </w:r>
      <w:proofErr w:type="spellStart"/>
      <w:r>
        <w:rPr>
          <w:rFonts w:ascii="Arial" w:eastAsia="Arial" w:hAnsi="Arial" w:cs="Arial"/>
          <w:i/>
        </w:rPr>
        <w:t>poblacion</w:t>
      </w:r>
      <w:proofErr w:type="spellEnd"/>
      <w:r>
        <w:rPr>
          <w:rFonts w:ascii="Arial" w:eastAsia="Arial" w:hAnsi="Arial" w:cs="Arial"/>
          <w:i/>
        </w:rPr>
        <w:t>, u ocasiona daños graves a los bienes y al medio ambiente”.</w:t>
      </w:r>
    </w:p>
    <w:p w:rsidR="003065B6" w:rsidRDefault="004B1006">
      <w:pPr>
        <w:spacing w:after="0" w:line="360" w:lineRule="auto"/>
        <w:ind w:left="0" w:hanging="2"/>
        <w:jc w:val="both"/>
        <w:rPr>
          <w:rFonts w:ascii="Arial" w:eastAsia="Arial" w:hAnsi="Arial" w:cs="Arial"/>
          <w:color w:val="FF0000"/>
        </w:rPr>
      </w:pPr>
      <w:proofErr w:type="gramStart"/>
      <w:r>
        <w:rPr>
          <w:rFonts w:ascii="Arial" w:eastAsia="Arial" w:hAnsi="Arial" w:cs="Arial"/>
        </w:rPr>
        <w:t>Que</w:t>
      </w:r>
      <w:proofErr w:type="gramEnd"/>
      <w:r>
        <w:rPr>
          <w:rFonts w:ascii="Arial" w:eastAsia="Arial" w:hAnsi="Arial" w:cs="Arial"/>
        </w:rPr>
        <w:t xml:space="preserve"> en función de ello, los </w:t>
      </w:r>
      <w:proofErr w:type="spellStart"/>
      <w:r>
        <w:rPr>
          <w:rFonts w:ascii="Arial" w:eastAsia="Arial" w:hAnsi="Arial" w:cs="Arial"/>
        </w:rPr>
        <w:t>Deposito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</w:rPr>
        <w:t xml:space="preserve"> de Agroquímicos deben ser considerados como Depósitos Clase 3.</w:t>
      </w:r>
    </w:p>
    <w:p w:rsidR="003065B6" w:rsidRDefault="004B1006">
      <w:pPr>
        <w:spacing w:after="0" w:line="360" w:lineRule="auto"/>
        <w:ind w:left="0" w:hanging="2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</w:rPr>
        <w:t xml:space="preserve">Que </w:t>
      </w:r>
      <w:proofErr w:type="spellStart"/>
      <w:r>
        <w:rPr>
          <w:rFonts w:ascii="Arial" w:eastAsia="Arial" w:hAnsi="Arial" w:cs="Arial"/>
        </w:rPr>
        <w:t>ademas</w:t>
      </w:r>
      <w:proofErr w:type="spellEnd"/>
      <w:r>
        <w:rPr>
          <w:rFonts w:ascii="Arial" w:eastAsia="Arial" w:hAnsi="Arial" w:cs="Arial"/>
        </w:rPr>
        <w:t xml:space="preserve"> en el Capítulo XII.10- Distrito Complementario Industrial 1 (CI1), inciso 5- USOS DEL SUELO PERMITIDOS: inc. 5.2: Comercial, inc. 5.2.3, se admite la localización de Depósitos Clas</w:t>
      </w:r>
      <w:r>
        <w:rPr>
          <w:rFonts w:ascii="Arial" w:eastAsia="Arial" w:hAnsi="Arial" w:cs="Arial"/>
        </w:rPr>
        <w:t xml:space="preserve">e 1, 2, y 3. </w:t>
      </w:r>
    </w:p>
    <w:p w:rsidR="003065B6" w:rsidRDefault="004B1006">
      <w:pPr>
        <w:spacing w:after="0"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Que la Ordenanza 4936 que establece las equivalencias correspondientes entre los tipos de Zonas fijadas por el </w:t>
      </w:r>
      <w:proofErr w:type="spellStart"/>
      <w:r>
        <w:rPr>
          <w:rFonts w:ascii="Arial" w:eastAsia="Arial" w:hAnsi="Arial" w:cs="Arial"/>
        </w:rPr>
        <w:t>articulo</w:t>
      </w:r>
      <w:proofErr w:type="spellEnd"/>
      <w:r>
        <w:rPr>
          <w:rFonts w:ascii="Arial" w:eastAsia="Arial" w:hAnsi="Arial" w:cs="Arial"/>
        </w:rPr>
        <w:t xml:space="preserve"> 40° del Decreto 1741/96, </w:t>
      </w:r>
      <w:proofErr w:type="spellStart"/>
      <w:r>
        <w:rPr>
          <w:rFonts w:ascii="Arial" w:eastAsia="Arial" w:hAnsi="Arial" w:cs="Arial"/>
        </w:rPr>
        <w:t>reglamantario</w:t>
      </w:r>
      <w:proofErr w:type="spellEnd"/>
      <w:r>
        <w:rPr>
          <w:rFonts w:ascii="Arial" w:eastAsia="Arial" w:hAnsi="Arial" w:cs="Arial"/>
        </w:rPr>
        <w:t xml:space="preserve"> de la Ley 11.459, y la zonificación de usos del suelo contenida en la Ordenanza 403</w:t>
      </w:r>
      <w:r>
        <w:rPr>
          <w:rFonts w:ascii="Arial" w:eastAsia="Arial" w:hAnsi="Arial" w:cs="Arial"/>
        </w:rPr>
        <w:t>0 y su modificatoria Ordenanza 4561, requerido en el Artículo 41° del Decreto aludido, disponiendo como Zona D: Industrial exclusiva a los Distritos Complementario Industrial 1 (CI1) y al Sector Industrial Planificado (SIP).</w:t>
      </w:r>
    </w:p>
    <w:p w:rsidR="003065B6" w:rsidRDefault="004B1006">
      <w:pPr>
        <w:spacing w:after="0"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Que el artículo 10 de la Ordena</w:t>
      </w:r>
      <w:r>
        <w:rPr>
          <w:rFonts w:ascii="Arial" w:eastAsia="Arial" w:hAnsi="Arial" w:cs="Arial"/>
        </w:rPr>
        <w:t xml:space="preserve">nza 5329 dispone: </w:t>
      </w:r>
      <w:r>
        <w:rPr>
          <w:rFonts w:ascii="Arial" w:eastAsia="Arial" w:hAnsi="Arial" w:cs="Arial"/>
          <w:i/>
        </w:rPr>
        <w:t>“De la localización – Los predios o parcelas donde se desarrolle en forma exclusiva o conjunta las siguientes actividades deberán localizarse fuera del Área Urbanizada, Poblada o Habitable, a excepción de la Zona Industrial Exclusiva (Zon</w:t>
      </w:r>
      <w:r>
        <w:rPr>
          <w:rFonts w:ascii="Arial" w:eastAsia="Arial" w:hAnsi="Arial" w:cs="Arial"/>
          <w:i/>
        </w:rPr>
        <w:t xml:space="preserve">a D Ley 11.459- Ordenanza 4936): Elaboración, formulación, fraccionamiento, manipulación, distribución, acopio, almacenamiento y/o </w:t>
      </w:r>
      <w:r>
        <w:rPr>
          <w:rFonts w:ascii="Arial" w:eastAsia="Arial" w:hAnsi="Arial" w:cs="Arial"/>
          <w:i/>
        </w:rPr>
        <w:lastRenderedPageBreak/>
        <w:t xml:space="preserve">depósitos de los productos agroquímicos, lugares de estacionamiento o garajes”, </w:t>
      </w:r>
      <w:r>
        <w:rPr>
          <w:rFonts w:ascii="Arial" w:eastAsia="Arial" w:hAnsi="Arial" w:cs="Arial"/>
        </w:rPr>
        <w:t xml:space="preserve">estableciendo así la admisión de dichos usos </w:t>
      </w:r>
      <w:r>
        <w:rPr>
          <w:rFonts w:ascii="Arial" w:eastAsia="Arial" w:hAnsi="Arial" w:cs="Arial"/>
        </w:rPr>
        <w:t>en las zonas industriales.</w:t>
      </w:r>
    </w:p>
    <w:p w:rsidR="003065B6" w:rsidRDefault="004B1006">
      <w:pPr>
        <w:spacing w:after="0"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Que por su parte el artículo 11 de dicha normativa determina que </w:t>
      </w:r>
      <w:r>
        <w:rPr>
          <w:rFonts w:ascii="Arial" w:eastAsia="Arial" w:hAnsi="Arial" w:cs="Arial"/>
          <w:i/>
        </w:rPr>
        <w:t>“Los locales destinados a talleres de mantenimiento y reparación de los equipos de aplicación (limpios y sin carga), las oficinas de venta de productos agroquímicos</w:t>
      </w:r>
      <w:r>
        <w:rPr>
          <w:rFonts w:ascii="Arial" w:eastAsia="Arial" w:hAnsi="Arial" w:cs="Arial"/>
          <w:i/>
        </w:rPr>
        <w:t xml:space="preserve"> y/o plaguicidas que no cuenten con depósito de productos, los locales de venta de maquinarias de aplicación nueva y usada (siempre que las mismas se encuentren sin carga, limpias y picos pulverizadores cerrados) y los locales de ventas de equipo de aplica</w:t>
      </w:r>
      <w:r>
        <w:rPr>
          <w:rFonts w:ascii="Arial" w:eastAsia="Arial" w:hAnsi="Arial" w:cs="Arial"/>
          <w:i/>
        </w:rPr>
        <w:t xml:space="preserve">ción manual (limpios y sin carga) podrán localizarse en el Área Rural en toda su extensión así como en las </w:t>
      </w:r>
      <w:r>
        <w:rPr>
          <w:rFonts w:ascii="Arial" w:eastAsia="Arial" w:hAnsi="Arial" w:cs="Arial"/>
          <w:b/>
          <w:i/>
        </w:rPr>
        <w:t>parcelas frentistas a Autovía 2</w:t>
      </w:r>
      <w:r>
        <w:rPr>
          <w:rFonts w:ascii="Arial" w:eastAsia="Arial" w:hAnsi="Arial" w:cs="Arial"/>
          <w:i/>
        </w:rPr>
        <w:t xml:space="preserve"> regulados por los Distritos Complementario Industrial 2 (CI2), Complementario Agropecuario Intensivo (CAI), Complemen</w:t>
      </w:r>
      <w:r>
        <w:rPr>
          <w:rFonts w:ascii="Arial" w:eastAsia="Arial" w:hAnsi="Arial" w:cs="Arial"/>
          <w:i/>
        </w:rPr>
        <w:t xml:space="preserve">tario Comercial 1 (CC1) y Complementario Comercial 3 (CC3), según lo establecido por Ordenanza 4030 y su modificatoria Ordenanza 4561 y toda Ordenanza que en un futuro las modifique”, </w:t>
      </w:r>
      <w:r>
        <w:rPr>
          <w:rFonts w:ascii="Arial" w:eastAsia="Arial" w:hAnsi="Arial" w:cs="Arial"/>
        </w:rPr>
        <w:t xml:space="preserve">permitiendo que estos usos se ubiquen sobre la Autovía 2, pero alejados </w:t>
      </w:r>
      <w:r>
        <w:rPr>
          <w:rFonts w:ascii="Arial" w:eastAsia="Arial" w:hAnsi="Arial" w:cs="Arial"/>
        </w:rPr>
        <w:t>de los límites de dichas  zonas con las zonas residenciales contiguas.</w:t>
      </w:r>
    </w:p>
    <w:p w:rsidR="003065B6" w:rsidRDefault="004B1006">
      <w:pPr>
        <w:spacing w:after="0"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Que debe existir armonía y concordancia entre las distintas ordenanzas que forman el cuerpo normativo distrital.</w:t>
      </w:r>
    </w:p>
    <w:p w:rsidR="003065B6" w:rsidRDefault="004B10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ind w:left="0" w:hanging="2"/>
        <w:jc w:val="center"/>
        <w:rPr>
          <w:rFonts w:ascii="Arial" w:eastAsia="Arial" w:hAnsi="Arial" w:cs="Arial"/>
          <w:color w:val="000000"/>
          <w:u w:val="single"/>
        </w:rPr>
      </w:pPr>
      <w:bookmarkStart w:id="1" w:name="_GoBack"/>
      <w:bookmarkEnd w:id="1"/>
      <w:r>
        <w:rPr>
          <w:rFonts w:ascii="Arial" w:eastAsia="Arial" w:hAnsi="Arial" w:cs="Arial"/>
          <w:b/>
          <w:color w:val="000000"/>
          <w:u w:val="single"/>
        </w:rPr>
        <w:t>ORDENANZA</w:t>
      </w:r>
    </w:p>
    <w:p w:rsidR="003065B6" w:rsidRDefault="004B1006">
      <w:p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ARTICULO 1</w:t>
      </w:r>
      <w:r>
        <w:rPr>
          <w:rFonts w:ascii="Arial" w:eastAsia="Arial" w:hAnsi="Arial" w:cs="Arial"/>
          <w:b/>
        </w:rPr>
        <w:t>:</w:t>
      </w:r>
      <w:r>
        <w:rPr>
          <w:rFonts w:ascii="Arial" w:eastAsia="Arial" w:hAnsi="Arial" w:cs="Arial"/>
        </w:rPr>
        <w:t xml:space="preserve"> Modifíquese el artículo 10 de la Ordenanza 5329 el cual quedará redactado de la siguiente manera:</w:t>
      </w:r>
    </w:p>
    <w:p w:rsidR="003065B6" w:rsidRDefault="004B1006">
      <w:p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“ARTICULO 10: </w:t>
      </w:r>
      <w:r>
        <w:rPr>
          <w:rFonts w:ascii="Arial" w:eastAsia="Arial" w:hAnsi="Arial" w:cs="Arial"/>
          <w:i/>
        </w:rPr>
        <w:t>De la localización – Los predios o parcelas donde se desarrolle en forma exclusiva o conjunta las siguientes actividades deberán localizarse fuera del Área Urbanizada, Poblada o Habitable, a excepción de las parcelas frentistas a Autovía 2 del Distrito Com</w:t>
      </w:r>
      <w:r>
        <w:rPr>
          <w:rFonts w:ascii="Arial" w:eastAsia="Arial" w:hAnsi="Arial" w:cs="Arial"/>
          <w:i/>
        </w:rPr>
        <w:t xml:space="preserve">plementario Industrial  </w:t>
      </w:r>
      <w:r>
        <w:rPr>
          <w:rFonts w:ascii="Arial" w:eastAsia="Arial" w:hAnsi="Arial" w:cs="Arial"/>
          <w:i/>
        </w:rPr>
        <w:t xml:space="preserve">1 </w:t>
      </w:r>
      <w:r>
        <w:rPr>
          <w:rFonts w:ascii="Arial" w:eastAsia="Arial" w:hAnsi="Arial" w:cs="Arial"/>
          <w:i/>
        </w:rPr>
        <w:t>(CI1) (Zona D Ley 11.459- Ordenanza 4936) y de  la Zona Industrial Planificada (SIP): Elaboración, formulación, fraccionamiento, manipulación, distribución, acopio, almacenamiento y/o depósitos de los productos agroquímicos, lugar</w:t>
      </w:r>
      <w:r>
        <w:rPr>
          <w:rFonts w:ascii="Arial" w:eastAsia="Arial" w:hAnsi="Arial" w:cs="Arial"/>
          <w:i/>
        </w:rPr>
        <w:t>es de estacionamiento o garajes</w:t>
      </w:r>
      <w:r>
        <w:rPr>
          <w:rFonts w:ascii="Arial" w:eastAsia="Arial" w:hAnsi="Arial" w:cs="Arial"/>
          <w:i/>
        </w:rPr>
        <w:t>, estos últimos que involucren agroquímicos, Centro de Almacenamiento</w:t>
      </w:r>
      <w:r>
        <w:rPr>
          <w:rFonts w:ascii="Arial" w:eastAsia="Arial" w:hAnsi="Arial" w:cs="Arial"/>
          <w:i/>
          <w:vertAlign w:val="subscript"/>
        </w:rPr>
        <w:t xml:space="preserve">  </w:t>
      </w:r>
      <w:r>
        <w:rPr>
          <w:rFonts w:ascii="Arial" w:eastAsia="Arial" w:hAnsi="Arial" w:cs="Arial"/>
          <w:i/>
        </w:rPr>
        <w:t>Tr</w:t>
      </w:r>
      <w:r>
        <w:rPr>
          <w:rFonts w:ascii="Arial" w:eastAsia="Arial" w:hAnsi="Arial" w:cs="Arial"/>
          <w:i/>
        </w:rPr>
        <w:t xml:space="preserve">ansitorios para </w:t>
      </w:r>
      <w:r>
        <w:rPr>
          <w:rFonts w:ascii="Arial" w:eastAsia="Arial" w:hAnsi="Arial" w:cs="Arial"/>
          <w:i/>
        </w:rPr>
        <w:t xml:space="preserve">envases vacíos de </w:t>
      </w:r>
      <w:proofErr w:type="spellStart"/>
      <w:r>
        <w:rPr>
          <w:rFonts w:ascii="Arial" w:eastAsia="Arial" w:hAnsi="Arial" w:cs="Arial"/>
          <w:i/>
        </w:rPr>
        <w:t>firo</w:t>
      </w:r>
      <w:proofErr w:type="spellEnd"/>
      <w:r>
        <w:rPr>
          <w:rFonts w:ascii="Arial" w:eastAsia="Arial" w:hAnsi="Arial" w:cs="Arial"/>
          <w:i/>
        </w:rPr>
        <w:t xml:space="preserve"> sanitarios (CAT) de todas las categorías”.</w:t>
      </w:r>
    </w:p>
    <w:p w:rsidR="003065B6" w:rsidRDefault="004B1006">
      <w:p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ARTICULO 2</w:t>
      </w:r>
      <w:r>
        <w:rPr>
          <w:rFonts w:ascii="Arial" w:eastAsia="Arial" w:hAnsi="Arial" w:cs="Arial"/>
          <w:b/>
        </w:rPr>
        <w:t>: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Modifíquese el artículo 27 de la Ordenanza 5329 el cual qu</w:t>
      </w:r>
      <w:r>
        <w:rPr>
          <w:rFonts w:ascii="Arial" w:eastAsia="Arial" w:hAnsi="Arial" w:cs="Arial"/>
        </w:rPr>
        <w:t xml:space="preserve">edará redactado de la siguiente manera: </w:t>
      </w:r>
    </w:p>
    <w:p w:rsidR="003065B6" w:rsidRDefault="004B1006">
      <w:pPr>
        <w:spacing w:line="360" w:lineRule="auto"/>
        <w:ind w:left="0" w:hanging="2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“ ART</w:t>
      </w:r>
      <w:proofErr w:type="gramEnd"/>
      <w:r>
        <w:rPr>
          <w:rFonts w:ascii="Arial" w:eastAsia="Arial" w:hAnsi="Arial" w:cs="Arial"/>
        </w:rPr>
        <w:t xml:space="preserve"> 27: De los envases- de la disposición final- de la prohibición de la comercialización. Debe actuarse de acuerdo a lo establecido en la Ley Nacional N° </w:t>
      </w:r>
      <w:r>
        <w:rPr>
          <w:rFonts w:ascii="Arial" w:eastAsia="Arial" w:hAnsi="Arial" w:cs="Arial"/>
        </w:rPr>
        <w:lastRenderedPageBreak/>
        <w:t xml:space="preserve">27279 y la RESOLUCIÓN OPDS 505/2019, o las normas que las </w:t>
      </w:r>
      <w:r>
        <w:rPr>
          <w:rFonts w:ascii="Arial" w:eastAsia="Arial" w:hAnsi="Arial" w:cs="Arial"/>
        </w:rPr>
        <w:t>modifiquen o reemplacen en el futuro”.</w:t>
      </w:r>
    </w:p>
    <w:p w:rsidR="003065B6" w:rsidRDefault="003065B6">
      <w:pPr>
        <w:spacing w:line="360" w:lineRule="auto"/>
        <w:ind w:left="0" w:hanging="2"/>
        <w:jc w:val="both"/>
        <w:rPr>
          <w:rFonts w:ascii="Arial" w:eastAsia="Arial" w:hAnsi="Arial" w:cs="Arial"/>
        </w:rPr>
      </w:pPr>
    </w:p>
    <w:p w:rsidR="003065B6" w:rsidRDefault="004B1006">
      <w:p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ARTICULO 3</w:t>
      </w:r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</w:rPr>
        <w:t xml:space="preserve">Modifíquese el artículo </w:t>
      </w:r>
      <w:proofErr w:type="gramStart"/>
      <w:r>
        <w:rPr>
          <w:rFonts w:ascii="Arial" w:eastAsia="Arial" w:hAnsi="Arial" w:cs="Arial"/>
        </w:rPr>
        <w:t>03  de</w:t>
      </w:r>
      <w:proofErr w:type="gramEnd"/>
      <w:r>
        <w:rPr>
          <w:rFonts w:ascii="Arial" w:eastAsia="Arial" w:hAnsi="Arial" w:cs="Arial"/>
        </w:rPr>
        <w:t xml:space="preserve"> la Ordenanza 5329 el cual quedará redactado de la siguiente manera: </w:t>
      </w:r>
    </w:p>
    <w:p w:rsidR="003065B6" w:rsidRDefault="004B1006">
      <w:pPr>
        <w:shd w:val="clear" w:color="auto" w:fill="FFFFFF"/>
        <w:spacing w:line="360" w:lineRule="auto"/>
        <w:ind w:left="0" w:hanging="2"/>
        <w:jc w:val="both"/>
        <w:rPr>
          <w:rFonts w:ascii="Arial" w:eastAsia="Arial" w:hAnsi="Arial" w:cs="Arial"/>
          <w:color w:val="414042"/>
          <w:shd w:val="clear" w:color="auto" w:fill="F9FBFD"/>
        </w:rPr>
      </w:pPr>
      <w:r>
        <w:rPr>
          <w:rFonts w:ascii="Arial" w:eastAsia="Arial" w:hAnsi="Arial" w:cs="Arial"/>
          <w:color w:val="414042"/>
        </w:rPr>
        <w:t xml:space="preserve"> </w:t>
      </w:r>
      <w:r>
        <w:rPr>
          <w:rFonts w:ascii="Arial" w:eastAsia="Arial" w:hAnsi="Arial" w:cs="Arial"/>
          <w:color w:val="414042"/>
          <w:shd w:val="clear" w:color="auto" w:fill="F9FBFD"/>
        </w:rPr>
        <w:t>A los efectos de la presente ordenanza se definen como:</w:t>
      </w:r>
      <w:r>
        <w:rPr>
          <w:rFonts w:ascii="Arial" w:eastAsia="Arial" w:hAnsi="Arial" w:cs="Arial"/>
          <w:color w:val="414042"/>
          <w:shd w:val="clear" w:color="auto" w:fill="F9FBFD"/>
        </w:rPr>
        <w:br/>
      </w:r>
      <w:r>
        <w:rPr>
          <w:rFonts w:ascii="Arial" w:eastAsia="Arial" w:hAnsi="Arial" w:cs="Arial"/>
          <w:color w:val="414042"/>
          <w:shd w:val="clear" w:color="auto" w:fill="F9FBFD"/>
        </w:rPr>
        <w:t xml:space="preserve">a). Agroquímicos: Se entenderá por agroquímicos a las sustancias naturales y/o sintéticas de uso agrícola, de acción química y/o biológica, que tienden a evitar los efectos nocivos de especies vegetales o animales sobre los cultivos, como también aquellas </w:t>
      </w:r>
      <w:r>
        <w:rPr>
          <w:rFonts w:ascii="Arial" w:eastAsia="Arial" w:hAnsi="Arial" w:cs="Arial"/>
          <w:color w:val="414042"/>
          <w:shd w:val="clear" w:color="auto" w:fill="F9FBFD"/>
        </w:rPr>
        <w:t>sustancias susceptibles de incrementar la producción vegetal y los que por extensión se utilicen en saneamiento ambiental. Se deja constancia que quedan equiparados y/o comprendidos en la definición de agroquímicos los siguientes términos: biosidas, insect</w:t>
      </w:r>
      <w:r>
        <w:rPr>
          <w:rFonts w:ascii="Arial" w:eastAsia="Arial" w:hAnsi="Arial" w:cs="Arial"/>
          <w:color w:val="414042"/>
          <w:shd w:val="clear" w:color="auto" w:fill="F9FBFD"/>
        </w:rPr>
        <w:t xml:space="preserve">icidas, acaricidas, </w:t>
      </w:r>
      <w:proofErr w:type="spellStart"/>
      <w:r>
        <w:rPr>
          <w:rFonts w:ascii="Arial" w:eastAsia="Arial" w:hAnsi="Arial" w:cs="Arial"/>
          <w:color w:val="414042"/>
          <w:shd w:val="clear" w:color="auto" w:fill="F9FBFD"/>
        </w:rPr>
        <w:t>nematodicidas</w:t>
      </w:r>
      <w:proofErr w:type="spellEnd"/>
      <w:r>
        <w:rPr>
          <w:rFonts w:ascii="Arial" w:eastAsia="Arial" w:hAnsi="Arial" w:cs="Arial"/>
          <w:color w:val="414042"/>
          <w:shd w:val="clear" w:color="auto" w:fill="F9FBFD"/>
        </w:rPr>
        <w:t xml:space="preserve">, fungicidas, bactericidas, antibiótico, </w:t>
      </w:r>
      <w:proofErr w:type="spellStart"/>
      <w:r>
        <w:rPr>
          <w:rFonts w:ascii="Arial" w:eastAsia="Arial" w:hAnsi="Arial" w:cs="Arial"/>
          <w:color w:val="414042"/>
          <w:shd w:val="clear" w:color="auto" w:fill="F9FBFD"/>
        </w:rPr>
        <w:t>mamalicidas</w:t>
      </w:r>
      <w:proofErr w:type="spellEnd"/>
      <w:r>
        <w:rPr>
          <w:rFonts w:ascii="Arial" w:eastAsia="Arial" w:hAnsi="Arial" w:cs="Arial"/>
          <w:color w:val="414042"/>
          <w:shd w:val="clear" w:color="auto" w:fill="F9FBFD"/>
        </w:rPr>
        <w:t xml:space="preserve">, </w:t>
      </w:r>
      <w:proofErr w:type="spellStart"/>
      <w:r>
        <w:rPr>
          <w:rFonts w:ascii="Arial" w:eastAsia="Arial" w:hAnsi="Arial" w:cs="Arial"/>
          <w:color w:val="414042"/>
          <w:shd w:val="clear" w:color="auto" w:fill="F9FBFD"/>
        </w:rPr>
        <w:t>avicidas</w:t>
      </w:r>
      <w:proofErr w:type="spellEnd"/>
      <w:r>
        <w:rPr>
          <w:rFonts w:ascii="Arial" w:eastAsia="Arial" w:hAnsi="Arial" w:cs="Arial"/>
          <w:color w:val="414042"/>
          <w:shd w:val="clear" w:color="auto" w:fill="F9FBFD"/>
        </w:rPr>
        <w:t xml:space="preserve">, feromonas, </w:t>
      </w:r>
      <w:proofErr w:type="spellStart"/>
      <w:r>
        <w:rPr>
          <w:rFonts w:ascii="Arial" w:eastAsia="Arial" w:hAnsi="Arial" w:cs="Arial"/>
          <w:color w:val="414042"/>
          <w:shd w:val="clear" w:color="auto" w:fill="F9FBFD"/>
        </w:rPr>
        <w:t>molusquicidas</w:t>
      </w:r>
      <w:proofErr w:type="spellEnd"/>
      <w:r>
        <w:rPr>
          <w:rFonts w:ascii="Arial" w:eastAsia="Arial" w:hAnsi="Arial" w:cs="Arial"/>
          <w:color w:val="414042"/>
          <w:shd w:val="clear" w:color="auto" w:fill="F9FBFD"/>
        </w:rPr>
        <w:t xml:space="preserve">, defoliantes, y/o desecantes, </w:t>
      </w:r>
      <w:proofErr w:type="spellStart"/>
      <w:r>
        <w:rPr>
          <w:rFonts w:ascii="Arial" w:eastAsia="Arial" w:hAnsi="Arial" w:cs="Arial"/>
          <w:color w:val="414042"/>
          <w:shd w:val="clear" w:color="auto" w:fill="F9FBFD"/>
        </w:rPr>
        <w:t>fitoreguladores</w:t>
      </w:r>
      <w:proofErr w:type="spellEnd"/>
      <w:r>
        <w:rPr>
          <w:rFonts w:ascii="Arial" w:eastAsia="Arial" w:hAnsi="Arial" w:cs="Arial"/>
          <w:color w:val="414042"/>
          <w:shd w:val="clear" w:color="auto" w:fill="F9FBFD"/>
        </w:rPr>
        <w:t>, herbicidas, coadyuvantes, repelentes, atractivos, fertilizantes, inoculantes y todos aq</w:t>
      </w:r>
      <w:r>
        <w:rPr>
          <w:rFonts w:ascii="Arial" w:eastAsia="Arial" w:hAnsi="Arial" w:cs="Arial"/>
          <w:color w:val="414042"/>
          <w:shd w:val="clear" w:color="auto" w:fill="F9FBFD"/>
        </w:rPr>
        <w:t>uellos otros productos de acción química y/o biológica no contemplados explícitamente en esta clasificación, pero que sean utilizados para la protección y desarrollo de la producción vegetal.</w:t>
      </w:r>
    </w:p>
    <w:p w:rsidR="003065B6" w:rsidRDefault="004B1006">
      <w:pPr>
        <w:shd w:val="clear" w:color="auto" w:fill="FFFFFF"/>
        <w:spacing w:line="360" w:lineRule="auto"/>
        <w:ind w:left="0" w:hanging="2"/>
        <w:jc w:val="both"/>
        <w:rPr>
          <w:rFonts w:ascii="Arial" w:eastAsia="Arial" w:hAnsi="Arial" w:cs="Arial"/>
          <w:color w:val="414042"/>
          <w:shd w:val="clear" w:color="auto" w:fill="F9FBFD"/>
        </w:rPr>
      </w:pPr>
      <w:r>
        <w:rPr>
          <w:rFonts w:ascii="Arial" w:eastAsia="Arial" w:hAnsi="Arial" w:cs="Arial"/>
          <w:color w:val="414042"/>
          <w:shd w:val="clear" w:color="auto" w:fill="F9FBFD"/>
        </w:rPr>
        <w:t xml:space="preserve">b). </w:t>
      </w:r>
      <w:proofErr w:type="spellStart"/>
      <w:r>
        <w:rPr>
          <w:rFonts w:ascii="Arial" w:eastAsia="Arial" w:hAnsi="Arial" w:cs="Arial"/>
          <w:color w:val="414042"/>
          <w:shd w:val="clear" w:color="auto" w:fill="F9FBFD"/>
        </w:rPr>
        <w:t>Domisanitarios</w:t>
      </w:r>
      <w:proofErr w:type="spellEnd"/>
      <w:r>
        <w:rPr>
          <w:rFonts w:ascii="Arial" w:eastAsia="Arial" w:hAnsi="Arial" w:cs="Arial"/>
          <w:color w:val="414042"/>
          <w:shd w:val="clear" w:color="auto" w:fill="F9FBFD"/>
        </w:rPr>
        <w:t xml:space="preserve">: Se entenderán por </w:t>
      </w:r>
      <w:proofErr w:type="spellStart"/>
      <w:r>
        <w:rPr>
          <w:rFonts w:ascii="Arial" w:eastAsia="Arial" w:hAnsi="Arial" w:cs="Arial"/>
          <w:color w:val="414042"/>
          <w:shd w:val="clear" w:color="auto" w:fill="F9FBFD"/>
        </w:rPr>
        <w:t>Domisanitarios</w:t>
      </w:r>
      <w:proofErr w:type="spellEnd"/>
      <w:r>
        <w:rPr>
          <w:rFonts w:ascii="Arial" w:eastAsia="Arial" w:hAnsi="Arial" w:cs="Arial"/>
          <w:color w:val="414042"/>
          <w:shd w:val="clear" w:color="auto" w:fill="F9FBFD"/>
        </w:rPr>
        <w:t xml:space="preserve"> a aquellas </w:t>
      </w:r>
      <w:r>
        <w:rPr>
          <w:rFonts w:ascii="Arial" w:eastAsia="Arial" w:hAnsi="Arial" w:cs="Arial"/>
          <w:color w:val="414042"/>
          <w:shd w:val="clear" w:color="auto" w:fill="F9FBFD"/>
        </w:rPr>
        <w:t xml:space="preserve">sustancias o preparaciones destinadas a la limpieza, lavado, </w:t>
      </w:r>
      <w:proofErr w:type="spellStart"/>
      <w:r>
        <w:rPr>
          <w:rFonts w:ascii="Arial" w:eastAsia="Arial" w:hAnsi="Arial" w:cs="Arial"/>
          <w:color w:val="414042"/>
          <w:shd w:val="clear" w:color="auto" w:fill="F9FBFD"/>
        </w:rPr>
        <w:t>odorización</w:t>
      </w:r>
      <w:proofErr w:type="spellEnd"/>
      <w:r>
        <w:rPr>
          <w:rFonts w:ascii="Arial" w:eastAsia="Arial" w:hAnsi="Arial" w:cs="Arial"/>
          <w:color w:val="414042"/>
          <w:shd w:val="clear" w:color="auto" w:fill="F9FBFD"/>
        </w:rPr>
        <w:t xml:space="preserve">, </w:t>
      </w:r>
      <w:proofErr w:type="spellStart"/>
      <w:r>
        <w:rPr>
          <w:rFonts w:ascii="Arial" w:eastAsia="Arial" w:hAnsi="Arial" w:cs="Arial"/>
          <w:color w:val="414042"/>
          <w:shd w:val="clear" w:color="auto" w:fill="F9FBFD"/>
        </w:rPr>
        <w:t>desodorización</w:t>
      </w:r>
      <w:proofErr w:type="spellEnd"/>
      <w:r>
        <w:rPr>
          <w:rFonts w:ascii="Arial" w:eastAsia="Arial" w:hAnsi="Arial" w:cs="Arial"/>
          <w:color w:val="414042"/>
          <w:shd w:val="clear" w:color="auto" w:fill="F9FBFD"/>
        </w:rPr>
        <w:t xml:space="preserve">, higienización, desinfección o </w:t>
      </w:r>
      <w:proofErr w:type="spellStart"/>
      <w:r>
        <w:rPr>
          <w:rFonts w:ascii="Arial" w:eastAsia="Arial" w:hAnsi="Arial" w:cs="Arial"/>
          <w:color w:val="414042"/>
          <w:shd w:val="clear" w:color="auto" w:fill="F9FBFD"/>
        </w:rPr>
        <w:t>desinfectación</w:t>
      </w:r>
      <w:proofErr w:type="spellEnd"/>
      <w:r>
        <w:rPr>
          <w:rFonts w:ascii="Arial" w:eastAsia="Arial" w:hAnsi="Arial" w:cs="Arial"/>
          <w:color w:val="414042"/>
          <w:shd w:val="clear" w:color="auto" w:fill="F9FBFD"/>
        </w:rPr>
        <w:t>, para su utilización en el hogar, y/o ambientes colectivos públicos y/o privados.</w:t>
      </w:r>
    </w:p>
    <w:p w:rsidR="003065B6" w:rsidRDefault="004B1006">
      <w:pPr>
        <w:shd w:val="clear" w:color="auto" w:fill="FFFFFF"/>
        <w:spacing w:line="360" w:lineRule="auto"/>
        <w:ind w:left="0" w:hanging="2"/>
        <w:jc w:val="both"/>
        <w:rPr>
          <w:rFonts w:ascii="Arial" w:eastAsia="Arial" w:hAnsi="Arial" w:cs="Arial"/>
          <w:color w:val="414042"/>
          <w:shd w:val="clear" w:color="auto" w:fill="F9FBFD"/>
        </w:rPr>
      </w:pPr>
      <w:r>
        <w:rPr>
          <w:rFonts w:ascii="Arial" w:eastAsia="Arial" w:hAnsi="Arial" w:cs="Arial"/>
          <w:color w:val="414042"/>
          <w:shd w:val="clear" w:color="auto" w:fill="F9FBFD"/>
        </w:rPr>
        <w:t xml:space="preserve">c). Línea Jardín </w:t>
      </w:r>
      <w:proofErr w:type="spellStart"/>
      <w:r>
        <w:rPr>
          <w:rFonts w:ascii="Arial" w:eastAsia="Arial" w:hAnsi="Arial" w:cs="Arial"/>
          <w:color w:val="414042"/>
          <w:shd w:val="clear" w:color="auto" w:fill="F9FBFD"/>
        </w:rPr>
        <w:t>perihogareña</w:t>
      </w:r>
      <w:proofErr w:type="spellEnd"/>
      <w:r>
        <w:rPr>
          <w:rFonts w:ascii="Arial" w:eastAsia="Arial" w:hAnsi="Arial" w:cs="Arial"/>
          <w:color w:val="414042"/>
          <w:shd w:val="clear" w:color="auto" w:fill="F9FBFD"/>
        </w:rPr>
        <w:t>: Se enten</w:t>
      </w:r>
      <w:r>
        <w:rPr>
          <w:rFonts w:ascii="Arial" w:eastAsia="Arial" w:hAnsi="Arial" w:cs="Arial"/>
          <w:color w:val="414042"/>
          <w:shd w:val="clear" w:color="auto" w:fill="F9FBFD"/>
        </w:rPr>
        <w:t>derán por productos de la línea jardín los definidos por la RESOLUCIÓN SENASA 871/2010 sobre Reglamentación de la Línea Jardín de productos de terapéutica vegetal, o la que la modifique en el futuro, en este caso se tomará en cuenta las últimas recomendaci</w:t>
      </w:r>
      <w:r>
        <w:rPr>
          <w:rFonts w:ascii="Arial" w:eastAsia="Arial" w:hAnsi="Arial" w:cs="Arial"/>
          <w:color w:val="414042"/>
          <w:shd w:val="clear" w:color="auto" w:fill="F9FBFD"/>
        </w:rPr>
        <w:t>ones de la OMS en cuanto a las reclasificaciones que sufrieran estos productos, y/0 las normas que las modifiquen o reemplacen en el futuro.</w:t>
      </w:r>
    </w:p>
    <w:p w:rsidR="003065B6" w:rsidRDefault="003065B6">
      <w:pPr>
        <w:spacing w:line="360" w:lineRule="auto"/>
        <w:ind w:left="0" w:hanging="2"/>
        <w:jc w:val="both"/>
        <w:rPr>
          <w:rFonts w:ascii="Arial" w:eastAsia="Arial" w:hAnsi="Arial" w:cs="Arial"/>
          <w:shd w:val="clear" w:color="auto" w:fill="F9FBFD"/>
        </w:rPr>
      </w:pPr>
    </w:p>
    <w:p w:rsidR="003065B6" w:rsidRDefault="003065B6">
      <w:pPr>
        <w:spacing w:line="360" w:lineRule="auto"/>
        <w:ind w:left="0" w:hanging="2"/>
        <w:jc w:val="both"/>
        <w:rPr>
          <w:rFonts w:ascii="Arial" w:eastAsia="Arial" w:hAnsi="Arial" w:cs="Arial"/>
          <w:shd w:val="clear" w:color="auto" w:fill="F9FBFD"/>
        </w:rPr>
      </w:pPr>
    </w:p>
    <w:p w:rsidR="003065B6" w:rsidRDefault="003065B6">
      <w:pPr>
        <w:spacing w:line="360" w:lineRule="auto"/>
        <w:ind w:left="0" w:hanging="2"/>
        <w:jc w:val="both"/>
        <w:rPr>
          <w:rFonts w:ascii="Arial" w:eastAsia="Arial" w:hAnsi="Arial" w:cs="Arial"/>
          <w:shd w:val="clear" w:color="auto" w:fill="F9FBFD"/>
        </w:rPr>
      </w:pPr>
    </w:p>
    <w:p w:rsidR="003065B6" w:rsidRDefault="003065B6">
      <w:pPr>
        <w:spacing w:line="360" w:lineRule="auto"/>
        <w:ind w:left="0" w:hanging="2"/>
        <w:jc w:val="both"/>
        <w:rPr>
          <w:rFonts w:ascii="Arial" w:eastAsia="Arial" w:hAnsi="Arial" w:cs="Arial"/>
          <w:shd w:val="clear" w:color="auto" w:fill="F9FBFD"/>
        </w:rPr>
      </w:pPr>
    </w:p>
    <w:p w:rsidR="003065B6" w:rsidRDefault="004B1006">
      <w:pPr>
        <w:spacing w:line="360" w:lineRule="auto"/>
        <w:ind w:left="0" w:hanging="2"/>
        <w:jc w:val="both"/>
        <w:rPr>
          <w:rFonts w:ascii="Arial" w:eastAsia="Arial" w:hAnsi="Arial" w:cs="Arial"/>
          <w:shd w:val="clear" w:color="auto" w:fill="F9FBFD"/>
        </w:rPr>
      </w:pPr>
      <w:r>
        <w:rPr>
          <w:rFonts w:ascii="Arial" w:eastAsia="Arial" w:hAnsi="Arial" w:cs="Arial"/>
          <w:u w:val="single"/>
          <w:shd w:val="clear" w:color="auto" w:fill="F9FBFD"/>
        </w:rPr>
        <w:t xml:space="preserve"> ARTÍCULO 4:</w:t>
      </w:r>
      <w:r>
        <w:rPr>
          <w:rFonts w:ascii="Arial" w:eastAsia="Arial" w:hAnsi="Arial" w:cs="Arial"/>
          <w:shd w:val="clear" w:color="auto" w:fill="F9FBFD"/>
        </w:rPr>
        <w:t xml:space="preserve"> De forma.</w:t>
      </w:r>
    </w:p>
    <w:p w:rsidR="003065B6" w:rsidRDefault="003065B6">
      <w:pPr>
        <w:spacing w:line="360" w:lineRule="auto"/>
        <w:ind w:left="0" w:hanging="2"/>
        <w:jc w:val="both"/>
        <w:rPr>
          <w:rFonts w:ascii="Arial" w:eastAsia="Arial" w:hAnsi="Arial" w:cs="Arial"/>
          <w:shd w:val="clear" w:color="auto" w:fill="F9FBFD"/>
        </w:rPr>
      </w:pPr>
    </w:p>
    <w:p w:rsidR="003065B6" w:rsidRDefault="003065B6">
      <w:pPr>
        <w:spacing w:line="360" w:lineRule="auto"/>
        <w:ind w:left="0" w:hanging="2"/>
        <w:jc w:val="both"/>
        <w:rPr>
          <w:rFonts w:ascii="Arial" w:eastAsia="Arial" w:hAnsi="Arial" w:cs="Arial"/>
        </w:rPr>
      </w:pPr>
    </w:p>
    <w:p w:rsidR="003065B6" w:rsidRDefault="003065B6">
      <w:pPr>
        <w:ind w:left="0" w:hanging="2"/>
      </w:pPr>
    </w:p>
    <w:sectPr w:rsidR="003065B6">
      <w:head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006" w:rsidRDefault="004B1006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4B1006" w:rsidRDefault="004B1006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 M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006" w:rsidRDefault="004B1006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4B1006" w:rsidRDefault="004B1006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5B6" w:rsidRDefault="004B1006">
    <w:pPr>
      <w:pBdr>
        <w:top w:val="nil"/>
        <w:left w:val="nil"/>
        <w:bottom w:val="nil"/>
        <w:right w:val="nil"/>
        <w:between w:val="nil"/>
      </w:pBdr>
      <w:tabs>
        <w:tab w:val="left" w:pos="2295"/>
      </w:tabs>
      <w:spacing w:after="0" w:line="240" w:lineRule="auto"/>
      <w:ind w:left="0" w:hanging="2"/>
      <w:rPr>
        <w:color w:val="000000"/>
      </w:rPr>
    </w:pPr>
    <w:r>
      <w:rPr>
        <w:noProof/>
        <w:color w:val="000000"/>
        <w:lang w:val="en-US"/>
      </w:rPr>
      <w:drawing>
        <wp:inline distT="0" distB="0" distL="114300" distR="114300">
          <wp:extent cx="5403215" cy="629285"/>
          <wp:effectExtent l="0" t="0" r="0" b="0"/>
          <wp:docPr id="102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3215" cy="629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5B6"/>
    <w:rsid w:val="003065B6"/>
    <w:rsid w:val="004B1006"/>
    <w:rsid w:val="00B7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BABD1"/>
  <w15:docId w15:val="{9E2C609B-832C-4ECF-A45E-E198FF00B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kern w:val="2"/>
      <w:position w:val="-1"/>
    </w:rPr>
  </w:style>
  <w:style w:type="paragraph" w:styleId="Ttulo1">
    <w:name w:val="heading 1"/>
    <w:basedOn w:val="Normal"/>
    <w:pPr>
      <w:widowControl w:val="0"/>
      <w:autoSpaceDE w:val="0"/>
      <w:autoSpaceDN w:val="0"/>
      <w:spacing w:after="0" w:line="240" w:lineRule="auto"/>
      <w:ind w:left="402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qFormat/>
    <w:pPr>
      <w:spacing w:after="0" w:line="240" w:lineRule="auto"/>
    </w:pPr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pPr>
      <w:spacing w:after="0" w:line="240" w:lineRule="auto"/>
    </w:pPr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paragraph" w:styleId="Prrafodelista">
    <w:name w:val="List Paragraph"/>
    <w:basedOn w:val="Normal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rPr>
      <w:rFonts w:ascii="Arial" w:eastAsia="Arial" w:hAnsi="Arial" w:cs="Arial"/>
      <w:b/>
      <w:bCs/>
      <w:w w:val="100"/>
      <w:position w:val="-1"/>
      <w:sz w:val="24"/>
      <w:szCs w:val="24"/>
      <w:u w:val="single" w:color="000000"/>
      <w:effect w:val="none"/>
      <w:vertAlign w:val="baseline"/>
      <w:cs w:val="0"/>
      <w:em w:val="none"/>
    </w:rPr>
  </w:style>
  <w:style w:type="table" w:customStyle="1" w:styleId="TableNormal0">
    <w:name w:val="Table Normal"/>
    <w:next w:val="TableNormal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pPr>
      <w:widowControl w:val="0"/>
      <w:autoSpaceDE w:val="0"/>
      <w:autoSpaceDN w:val="0"/>
      <w:spacing w:after="0" w:line="240" w:lineRule="auto"/>
      <w:jc w:val="both"/>
    </w:pPr>
    <w:rPr>
      <w:rFonts w:ascii="Arial MT" w:eastAsia="Arial MT" w:hAnsi="Arial MT" w:cs="Arial MT"/>
      <w:sz w:val="24"/>
      <w:szCs w:val="24"/>
    </w:rPr>
  </w:style>
  <w:style w:type="character" w:customStyle="1" w:styleId="TextoindependienteCar">
    <w:name w:val="Texto independiente Car"/>
    <w:rPr>
      <w:rFonts w:ascii="Arial MT" w:eastAsia="Arial MT" w:hAnsi="Arial MT" w:cs="Arial MT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TableParagraph">
    <w:name w:val="Table Paragraph"/>
    <w:basedOn w:val="Normal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P8xxmiBlB+9JGoN8QccQshZEYg==">CgMxLjAyCGguZ2pkZ3hzOAByITEzU1ZXRV82R1dQekp6RkhtS1FGN2l4UFVjdHZ3dEw1Ug==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Turismo</dc:creator>
  <cp:lastModifiedBy>SIMM</cp:lastModifiedBy>
  <cp:revision>2</cp:revision>
  <dcterms:created xsi:type="dcterms:W3CDTF">2024-12-09T15:42:00Z</dcterms:created>
  <dcterms:modified xsi:type="dcterms:W3CDTF">2024-12-09T15:42:00Z</dcterms:modified>
</cp:coreProperties>
</file>