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4F1710" w:rsidRDefault="004F1710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– UXCH/FP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>Chascomús 2</w:t>
      </w:r>
      <w:r w:rsidR="00165A37">
        <w:rPr>
          <w:lang w:val="es-ES_tradnl"/>
        </w:rPr>
        <w:t xml:space="preserve">6 de </w:t>
      </w:r>
      <w:proofErr w:type="gramStart"/>
      <w:r w:rsidR="00165A37">
        <w:rPr>
          <w:lang w:val="es-ES_tradnl"/>
        </w:rPr>
        <w:t>Mayo</w:t>
      </w:r>
      <w:proofErr w:type="gramEnd"/>
      <w:r w:rsidR="00165A37">
        <w:rPr>
          <w:lang w:val="es-ES_tradnl"/>
        </w:rPr>
        <w:t xml:space="preserve"> </w:t>
      </w:r>
      <w:r>
        <w:rPr>
          <w:lang w:val="es-ES_tradnl"/>
        </w:rPr>
        <w:t>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5409F4" w:rsidRPr="005831F5" w:rsidRDefault="005409F4" w:rsidP="00094D09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C755DA" w:rsidRPr="00C755DA" w:rsidRDefault="005409F4" w:rsidP="00C755DA">
      <w:pP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Arial" w:hAnsi="Arial" w:cs="Arial"/>
          <w:b/>
          <w:sz w:val="24"/>
          <w:szCs w:val="24"/>
          <w:u w:val="single"/>
          <w:lang w:val="es-ES_tradnl"/>
        </w:rPr>
        <w:t>TITULO:</w:t>
      </w:r>
      <w:r w:rsidRPr="005409F4">
        <w:rPr>
          <w:rFonts w:ascii="Arial" w:hAnsi="Arial" w:cs="Arial"/>
          <w:sz w:val="24"/>
          <w:szCs w:val="24"/>
          <w:u w:val="single"/>
          <w:lang w:val="es-ES_tradnl"/>
        </w:rPr>
        <w:t xml:space="preserve"> </w:t>
      </w:r>
      <w:r w:rsidR="00C755DA" w:rsidRPr="00C755DA"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  <w:t>RATIFICANDO LA IMPORTANCIA DE LA LEY MICAELA</w:t>
      </w:r>
    </w:p>
    <w:p w:rsidR="00BB51AF" w:rsidRPr="00BB51AF" w:rsidRDefault="00BB51AF" w:rsidP="00BB51AF">
      <w:pPr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</w:pP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VISTO: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La Ley Nacional Nº 27.499, conocida como “Ley Micaela”, que establece la capacitación obligatoria en género y violencia por motivos de género para todas las personas que integran los poderes del Estado; y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Ley Micaela constituye una política pública fundamental para la prevención de las violencias por motivos de género y para la construcción de un Estado capaz de actuar con responsabilidad institucional frente a situaciones de desigualdad, discriminación y violencia;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dicha norma surge a partir de una de las expresiones más extremas de violencia machista ocurridas en nuestro país, y representa una conquista social y democrática impulsada por años de lucha de organizaciones, colectivos y familiares de víctimas;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las capacitaciones previstas por la ley no constituyen una formalidad vacía ni un mero requisito administrativo, sino herramientas concretas destinadas a transformar prácticas institucionales históricamente atravesadas por la violencia, la desigualdad y la reproducción de estereotipos;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resulta de extrema gravedad institucional que desde una banca de este Honorable Concejo Deliberante se hayan emitido expresiones públicas tendientes a desacreditar la utilidad de la Ley Micaela y a desmerecer las instancias de capacitación obligatoria en materia de género;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tales manifestaciones no solo implican un profundo desconocimiento respecto de los alcances y objetivos de la normativa vigente, sino que además representan un mensaje regresivo y peligroso proveniente de quien tiene la responsabilidad política y ética de legislar y representar a la comunidad;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banalizar políticas públicas construidas a partir de vidas perdidas y del reclamo histórico de amplios sectores de la sociedad constituye una actitud incompatible con el compromiso democrático que debe asumir toda persona que ejerce funciones públicas;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dichos discursos contribuyen a debilitar las herramientas institucionales destinadas a prevenir violencias, desalientan procesos de sensibilización indispensables dentro del Estado y afectan la legitimidad de políticas públicas fundamentales para la protección de derechos;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asimismo las expresiones vertidas implican un agravio directo hacia el trabajo cotidiano y comprometido de los equipos profesionales de la Dirección de Políticas de Género de la Municipalidad de Chascomús, quienes desarrollan tareas de acompañamiento, orientación y contención frente a situaciones de enorme complejidad social;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quienes ocupan cargos públicos no pueden desentenderse de las obligaciones legales de formación establecidas por la normativa vigente ni relativizar herramientas construidas para combatir las violencias y desigualdades estructurales existentes en nuestra sociedad;</w:t>
      </w:r>
    </w:p>
    <w:p w:rsidR="00C755DA" w:rsidRPr="00C755DA" w:rsidRDefault="00C755DA" w:rsidP="00C755D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silencio institucional frente a este tipo de manifestaciones implicaría una forma de convalidación política incompatible con los principios democráticos, de igualdad y de respeto a los derechos humanos;</w:t>
      </w:r>
    </w:p>
    <w:p w:rsidR="007062AF" w:rsidRDefault="007062AF" w:rsidP="00BB51AF">
      <w:pP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BB51AF" w:rsidRPr="007062AF" w:rsidRDefault="00BB51AF" w:rsidP="00BB51AF">
      <w:pP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BB51AF" w:rsidRPr="00BB51AF" w:rsidRDefault="00BB51AF" w:rsidP="00BB51AF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>Por ello, los bloques de Unidad por Chascomús y Unidad por Chascomús/Fuerza Patria, proponen el siguiente proyecto de</w:t>
      </w:r>
    </w:p>
    <w:p w:rsidR="007062AF" w:rsidRPr="007062AF" w:rsidRDefault="007062AF" w:rsidP="00C755DA">
      <w:pPr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C755DA" w:rsidRPr="00C755DA" w:rsidRDefault="00C755DA" w:rsidP="00C755DA">
      <w:pPr>
        <w:spacing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32"/>
          <w:szCs w:val="22"/>
          <w:u w:val="single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32"/>
          <w:szCs w:val="22"/>
          <w:u w:val="single"/>
          <w:lang w:eastAsia="en-US"/>
          <w14:ligatures w14:val="standardContextual"/>
        </w:rPr>
        <w:t>RESOLUCIÓN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ARTÍCULO 1º: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Honorable Concejo Deliberante expresa su firme adhesión a los principios y fundamentos de la Ley Nacional Nº 27.499 “Ley Micaela”, reafirmando el carácter obligatorio, indispensable y permanente de la capacitación en género y violencia por motivos de género para todas las personas que ejercen funciones públicas.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ARTÍCULO 2º: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Honorable Concejo Deliberante manifiesta su preocupación y rechazo frente a expresiones públicas vertidas en el ámbito de este cuerpo deliberativo que desacreditan la utilidad de la Ley Micaela y relativizan la importancia de las políticas públicas orientadas a la prevención de las violencias por motivos de género.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ARTÍCULO 3º: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Honorable Concejo Deliberante ratifica la necesidad de profundizar las instancias de formación y sensibilización en materia de género dentro del ámbito institucional, entendiendo que la capacitación permanente constituye una obligación ética, política y legal de quienes ejercen responsabilidades públicas.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ARTÍCULO 4º: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Honorable Concejo Deliberante expresa su reconocimiento y acompañamiento a la labor desarrollada por la Dirección de Políticas de Género y por los equipos profesionales que diariamente sostienen tareas de prevención, asistencia y acompañamiento frente a situaciones de violencia en nuestra comunidad.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ARTÍCULO 5º: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Honorable Concejo Deliberante vería con agrado que la Presidencia de este Honorable Cuerpo arbitre los medios necesarios para coordinar junto a la Dirección de Políticas de Género nuevas jornadas obligatorias de actualización y capacitación destinadas a la totalidad de los integrantes del cuerpo deliberativo y personal institucional.</w:t>
      </w:r>
    </w:p>
    <w:p w:rsidR="00C755DA" w:rsidRPr="00C755DA" w:rsidRDefault="00C755DA" w:rsidP="00C755D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755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ARTÍCULO 6º: </w:t>
      </w:r>
      <w:r w:rsidRPr="00C755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De forma.</w:t>
      </w:r>
    </w:p>
    <w:p w:rsidR="00192510" w:rsidRPr="00192510" w:rsidRDefault="00192510" w:rsidP="007062AF">
      <w:pPr>
        <w:rPr>
          <w:rFonts w:ascii="Arial" w:eastAsia="Arial" w:hAnsi="Arial" w:cs="Arial"/>
          <w:sz w:val="22"/>
          <w:szCs w:val="22"/>
          <w:lang w:eastAsia="es-AR"/>
        </w:rPr>
      </w:pPr>
    </w:p>
    <w:p w:rsidR="00192510" w:rsidRPr="00192510" w:rsidRDefault="00192510" w:rsidP="00192510">
      <w:pPr>
        <w:rPr>
          <w:rFonts w:ascii="Calibri" w:eastAsia="Calibri" w:hAnsi="Calibri"/>
          <w:kern w:val="2"/>
          <w:sz w:val="22"/>
          <w:szCs w:val="22"/>
          <w:lang w:val="es-419" w:eastAsia="en-US"/>
          <w14:ligatures w14:val="standardContextual"/>
        </w:rPr>
      </w:pPr>
    </w:p>
    <w:p w:rsidR="00192510" w:rsidRPr="00192510" w:rsidRDefault="00192510" w:rsidP="001925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0D0AEB"/>
    <w:rsid w:val="00165A37"/>
    <w:rsid w:val="00192510"/>
    <w:rsid w:val="0023040F"/>
    <w:rsid w:val="002F5949"/>
    <w:rsid w:val="004F1710"/>
    <w:rsid w:val="00512313"/>
    <w:rsid w:val="00534EC3"/>
    <w:rsid w:val="005409F4"/>
    <w:rsid w:val="005831F5"/>
    <w:rsid w:val="006919E3"/>
    <w:rsid w:val="007062AF"/>
    <w:rsid w:val="00790532"/>
    <w:rsid w:val="008C1BC4"/>
    <w:rsid w:val="00937C11"/>
    <w:rsid w:val="00956564"/>
    <w:rsid w:val="00956B25"/>
    <w:rsid w:val="00A209DF"/>
    <w:rsid w:val="00BB51AF"/>
    <w:rsid w:val="00C755DA"/>
    <w:rsid w:val="00E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2026-05-26T17:07:00Z</dcterms:created>
  <dcterms:modified xsi:type="dcterms:W3CDTF">2026-05-26T17:07:00Z</dcterms:modified>
</cp:coreProperties>
</file>