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72675A2C" w:rsidR="006D0B23" w:rsidRPr="00D71D85" w:rsidRDefault="004B6EBC" w:rsidP="00D71D8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71D85">
        <w:rPr>
          <w:rFonts w:ascii="Times New Roman" w:hAnsi="Times New Roman" w:cs="Times New Roman"/>
          <w:sz w:val="24"/>
          <w:szCs w:val="24"/>
        </w:rPr>
        <w:t>Chascomús,</w:t>
      </w:r>
      <w:r w:rsidR="00F235AC" w:rsidRPr="00D71D85">
        <w:rPr>
          <w:rFonts w:ascii="Times New Roman" w:hAnsi="Times New Roman" w:cs="Times New Roman"/>
          <w:sz w:val="24"/>
          <w:szCs w:val="24"/>
        </w:rPr>
        <w:t xml:space="preserve"> 10</w:t>
      </w:r>
      <w:r w:rsidRPr="00D71D85">
        <w:rPr>
          <w:rFonts w:ascii="Times New Roman" w:hAnsi="Times New Roman" w:cs="Times New Roman"/>
          <w:sz w:val="24"/>
          <w:szCs w:val="24"/>
        </w:rPr>
        <w:t xml:space="preserve"> de marzo de 2026.-</w:t>
      </w:r>
    </w:p>
    <w:p w14:paraId="00000002" w14:textId="77777777" w:rsidR="006D0B23" w:rsidRPr="00D71D85" w:rsidRDefault="004B6EBC" w:rsidP="00D71D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Sr. Presidente del</w:t>
      </w:r>
    </w:p>
    <w:p w14:paraId="00000003" w14:textId="77777777" w:rsidR="006D0B23" w:rsidRPr="00D71D85" w:rsidRDefault="004B6EBC" w:rsidP="00D71D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Honorable Concejo Deliberante</w:t>
      </w:r>
    </w:p>
    <w:p w14:paraId="00000004" w14:textId="4D80019A" w:rsidR="006D0B23" w:rsidRPr="00D71D85" w:rsidRDefault="004B6EBC" w:rsidP="00D71D8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Oscar Freddy Toledo</w:t>
      </w:r>
      <w:r w:rsidR="00D71D85"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 Barzola</w:t>
      </w:r>
    </w:p>
    <w:p w14:paraId="00000005" w14:textId="42CA54E6" w:rsidR="006D0B23" w:rsidRPr="00D71D85" w:rsidRDefault="004B6EBC" w:rsidP="00D71D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S / D</w:t>
      </w:r>
      <w:r w:rsidR="00D71D85" w:rsidRPr="00D71D8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06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>De nuestra consideración:</w:t>
      </w:r>
    </w:p>
    <w:p w14:paraId="00000007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>Remitimos copia del presente proyecto para ser incluido en el orden del día de la próxima sesión.</w:t>
      </w:r>
    </w:p>
    <w:p w14:paraId="00000008" w14:textId="01FB37E9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1D85">
        <w:rPr>
          <w:rFonts w:ascii="Times New Roman" w:hAnsi="Times New Roman" w:cs="Times New Roman"/>
          <w:b/>
          <w:sz w:val="24"/>
          <w:szCs w:val="24"/>
          <w:u w:val="single"/>
        </w:rPr>
        <w:t xml:space="preserve">Requiérase al </w:t>
      </w:r>
      <w:r w:rsidRPr="00D71D85">
        <w:rPr>
          <w:rFonts w:ascii="Times New Roman" w:hAnsi="Times New Roman" w:cs="Times New Roman"/>
          <w:b/>
          <w:bCs/>
          <w:sz w:val="24"/>
          <w:szCs w:val="24"/>
          <w:u w:val="single"/>
        </w:rPr>
        <w:t>Juzgado de Garantías con competencia en el partido de Chascomús, Departamento Judicial Dolores</w:t>
      </w:r>
      <w:r w:rsidRPr="00D71D85">
        <w:rPr>
          <w:rFonts w:ascii="Times New Roman" w:hAnsi="Times New Roman" w:cs="Times New Roman"/>
          <w:b/>
          <w:sz w:val="24"/>
          <w:szCs w:val="24"/>
          <w:u w:val="single"/>
        </w:rPr>
        <w:t xml:space="preserve">, información estadística vinculada a la aplicación de la medida de </w:t>
      </w:r>
      <w:r w:rsidRPr="00D71D85">
        <w:rPr>
          <w:rFonts w:ascii="Times New Roman" w:hAnsi="Times New Roman" w:cs="Times New Roman"/>
          <w:b/>
          <w:bCs/>
          <w:sz w:val="24"/>
          <w:szCs w:val="24"/>
          <w:u w:val="single"/>
        </w:rPr>
        <w:t>prisión domiciliaria</w:t>
      </w:r>
      <w:r w:rsidRPr="00D71D85">
        <w:rPr>
          <w:rFonts w:ascii="Times New Roman" w:hAnsi="Times New Roman" w:cs="Times New Roman"/>
          <w:b/>
          <w:sz w:val="24"/>
          <w:szCs w:val="24"/>
          <w:u w:val="single"/>
        </w:rPr>
        <w:t xml:space="preserve"> en el marco de causas penales, particularmente respecto de personas imputadas por </w:t>
      </w:r>
      <w:r w:rsidRPr="00D71D85">
        <w:rPr>
          <w:rFonts w:ascii="Times New Roman" w:hAnsi="Times New Roman" w:cs="Times New Roman"/>
          <w:b/>
          <w:bCs/>
          <w:sz w:val="24"/>
          <w:szCs w:val="24"/>
          <w:u w:val="single"/>
        </w:rPr>
        <w:t>delitos vinculados a la comercialización de estupefacientes</w:t>
      </w:r>
      <w:r w:rsidRPr="00D71D85">
        <w:rPr>
          <w:rFonts w:ascii="Times New Roman" w:hAnsi="Times New Roman" w:cs="Times New Roman"/>
          <w:b/>
          <w:sz w:val="24"/>
          <w:szCs w:val="24"/>
          <w:u w:val="single"/>
        </w:rPr>
        <w:t>, así como información institucional relativa a la concesión de dicha medida respecto de una persona detenida en un procedimiento reciente ocurrido en esta ciudad.</w:t>
      </w:r>
    </w:p>
    <w:p w14:paraId="42033C54" w14:textId="33B4B8EA" w:rsidR="00F235AC" w:rsidRPr="00D71D85" w:rsidRDefault="00F235AC" w:rsidP="00D71D85">
      <w:pPr>
        <w:spacing w:before="240"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D85">
        <w:rPr>
          <w:rFonts w:ascii="Times New Roman" w:hAnsi="Times New Roman" w:cs="Times New Roman"/>
          <w:b/>
          <w:sz w:val="24"/>
          <w:szCs w:val="24"/>
        </w:rPr>
        <w:t>Visto:</w:t>
      </w:r>
    </w:p>
    <w:p w14:paraId="3726C5C5" w14:textId="0174BCBF" w:rsidR="00F235AC" w:rsidRPr="00D71D85" w:rsidRDefault="00F235A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>El reciente allanamiento suscitado en calle Garay 222 de nuestra ciudad; y</w:t>
      </w:r>
    </w:p>
    <w:p w14:paraId="00000009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Considerando:</w:t>
      </w:r>
    </w:p>
    <w:p w14:paraId="0000000A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conforme surge de distintos medios periodísticos locales y de información pública difundida en la comunidad, con fecha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4 de marzo de 2026</w:t>
      </w:r>
      <w:r w:rsidRPr="00D71D85">
        <w:rPr>
          <w:rFonts w:ascii="Times New Roman" w:hAnsi="Times New Roman" w:cs="Times New Roman"/>
          <w:sz w:val="24"/>
          <w:szCs w:val="24"/>
        </w:rPr>
        <w:t xml:space="preserve"> se llevó adelante un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allanamiento en un domicilio ubicado en calle Garay N° 222 de la ciudad de Chascomús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en el marco de una investigación por presunta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comercialización de estupefacientes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0B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conforme surge de distintos medios periodísticos locales y de información pública difundida en la comunidad, dicho procedimiento habría arrojado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resultado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lastRenderedPageBreak/>
        <w:t>positivo</w:t>
      </w:r>
      <w:r w:rsidRPr="00D71D85">
        <w:rPr>
          <w:rFonts w:ascii="Times New Roman" w:hAnsi="Times New Roman" w:cs="Times New Roman"/>
          <w:sz w:val="24"/>
          <w:szCs w:val="24"/>
        </w:rPr>
        <w:t xml:space="preserve">, procediéndose al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secuestro de sustancias consideradas estupefacientes y a la detención de una persona de apellido Luna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0C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conforme testimonios de vecinos de la zona, la persona detenida en el procedimiento mencionado sería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la Sra. Fátima Luna</w:t>
      </w:r>
      <w:r w:rsidRPr="00D71D85">
        <w:rPr>
          <w:rFonts w:ascii="Times New Roman" w:hAnsi="Times New Roman" w:cs="Times New Roman"/>
          <w:sz w:val="24"/>
          <w:szCs w:val="24"/>
        </w:rPr>
        <w:t xml:space="preserve">, quien al momento del allanamiento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se encontraría cumpliendo una medida de prisión domiciliaria dispuesta en el marco de una causa penal vinculada a delitos previstos en la Ley 23.737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0D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según trascendió, la medida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prisión domiciliaria habría sido concedida para su cumplimiento en el mismo domicilio ubicado en calle Garay N° 222</w:t>
      </w:r>
      <w:r w:rsidRPr="00D71D85">
        <w:rPr>
          <w:rFonts w:ascii="Times New Roman" w:hAnsi="Times New Roman" w:cs="Times New Roman"/>
          <w:sz w:val="24"/>
          <w:szCs w:val="24"/>
        </w:rPr>
        <w:t>, lugar donde posteriormente se habría desarrollado el procedimiento judicial mencionado;</w:t>
      </w:r>
    </w:p>
    <w:p w14:paraId="0000000E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eventual reiteración de conductas delictivas en el marco de una medida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atenuación de la coerción personal</w:t>
      </w:r>
      <w:r w:rsidRPr="00D71D85">
        <w:rPr>
          <w:rFonts w:ascii="Times New Roman" w:hAnsi="Times New Roman" w:cs="Times New Roman"/>
          <w:sz w:val="24"/>
          <w:szCs w:val="24"/>
        </w:rPr>
        <w:t xml:space="preserve"> constituye una circunstancia que genera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preocupación institucional y social</w:t>
      </w:r>
      <w:r w:rsidRPr="00D71D85">
        <w:rPr>
          <w:rFonts w:ascii="Times New Roman" w:hAnsi="Times New Roman" w:cs="Times New Roman"/>
          <w:sz w:val="24"/>
          <w:szCs w:val="24"/>
        </w:rPr>
        <w:t>, en la medida en que las decisiones vinculadas al otorgamiento de medidas cautelares tienen impacto directo en la seguridad y tranquilidad de la comunidad;</w:t>
      </w:r>
    </w:p>
    <w:p w14:paraId="0000000F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situación descrita generó inquietud entre vecinos de la ciudad, en virtud de la posible reiteración de conductas delictivas vinculadas al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narcotráfico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0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los delitos relacionados con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comercialización de estupefacientes</w:t>
      </w:r>
      <w:r w:rsidRPr="00D71D85">
        <w:rPr>
          <w:rFonts w:ascii="Times New Roman" w:hAnsi="Times New Roman" w:cs="Times New Roman"/>
          <w:sz w:val="24"/>
          <w:szCs w:val="24"/>
        </w:rPr>
        <w:t xml:space="preserve"> generan un impacto significativo en la vida social de las comunidades y constituyen un fenómeno que requiere el abordaje coordinado de distintos niveles del Estado;</w:t>
      </w:r>
    </w:p>
    <w:p w14:paraId="00000011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en ese marco resulta de interés institucional conocer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información estadística agregada relativa a la aplicación de la medida de prisión domiciliaria</w:t>
      </w:r>
      <w:r w:rsidRPr="00D71D85">
        <w:rPr>
          <w:rFonts w:ascii="Times New Roman" w:hAnsi="Times New Roman" w:cs="Times New Roman"/>
          <w:sz w:val="24"/>
          <w:szCs w:val="24"/>
        </w:rPr>
        <w:t xml:space="preserve"> dentro de la jurisdicción judicial con competencia en el partido de Chascomús;</w:t>
      </w:r>
    </w:p>
    <w:p w14:paraId="00000012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este Honorable Concejo Deliberante ha promovido oportunamente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pedidos de información ante organismos provinciales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incluyendo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Procuración General de la Provincia de Buenos Aires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con el objeto de contar con estadísticas que permitan </w:t>
      </w:r>
      <w:r w:rsidRPr="00D71D85">
        <w:rPr>
          <w:rFonts w:ascii="Times New Roman" w:hAnsi="Times New Roman" w:cs="Times New Roman"/>
          <w:sz w:val="24"/>
          <w:szCs w:val="24"/>
        </w:rPr>
        <w:lastRenderedPageBreak/>
        <w:t>evaluar el impacto de las políticas públicas vinculadas a la prevención del narcotráfico y la seguridad ciudadana;</w:t>
      </w:r>
    </w:p>
    <w:p w14:paraId="00000013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sistema republicano de gobierno</w:t>
      </w:r>
      <w:r w:rsidRPr="00D71D85">
        <w:rPr>
          <w:rFonts w:ascii="Times New Roman" w:hAnsi="Times New Roman" w:cs="Times New Roman"/>
          <w:sz w:val="24"/>
          <w:szCs w:val="24"/>
        </w:rPr>
        <w:t xml:space="preserve">, consagrado en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1° de la Constitución Nacional</w:t>
      </w:r>
      <w:r w:rsidRPr="00D71D85">
        <w:rPr>
          <w:rFonts w:ascii="Times New Roman" w:hAnsi="Times New Roman" w:cs="Times New Roman"/>
          <w:sz w:val="24"/>
          <w:szCs w:val="24"/>
        </w:rPr>
        <w:t xml:space="preserve">, se sustenta en principios estructurales tales como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publicidad de los actos de gobierno, la transparencia institucional y la responsabilidad de los funcionarios públicos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4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división de poderes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pilar fundamental del sistema republicano, no implica la existencia de compartimentos estancos entre los órganos del Estado, sino un esquema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equilibrio, cooperación institucional y control recíproco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5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en tal sentido,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circulación de información institucional entre organismos del Estado</w:t>
      </w:r>
      <w:r w:rsidRPr="00D71D85">
        <w:rPr>
          <w:rFonts w:ascii="Times New Roman" w:hAnsi="Times New Roman" w:cs="Times New Roman"/>
          <w:sz w:val="24"/>
          <w:szCs w:val="24"/>
        </w:rPr>
        <w:t xml:space="preserve"> constituye una condición necesaria para el adecuado funcionamiento del sistema democrático;</w:t>
      </w:r>
    </w:p>
    <w:p w14:paraId="00000016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derecho de acceso a la información pública</w:t>
      </w:r>
      <w:r w:rsidRPr="00D71D85">
        <w:rPr>
          <w:rFonts w:ascii="Times New Roman" w:hAnsi="Times New Roman" w:cs="Times New Roman"/>
          <w:sz w:val="24"/>
          <w:szCs w:val="24"/>
        </w:rPr>
        <w:t xml:space="preserve"> se encuentra reconocido por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13 de la Convención Americana sobre Derechos Humanos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con jerarquía constitucional conforme lo dispuesto por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75 inciso 22 de la Constitución Nacional</w:t>
      </w:r>
      <w:r w:rsidRPr="00D71D85">
        <w:rPr>
          <w:rFonts w:ascii="Times New Roman" w:hAnsi="Times New Roman" w:cs="Times New Roman"/>
          <w:sz w:val="24"/>
          <w:szCs w:val="24"/>
        </w:rPr>
        <w:t xml:space="preserve">, garantizando el derecho de toda persona 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buscar y recibir información en poder del Estado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7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jurisprudencia del sistema interamericano ha sostenido que la información en poder del Estado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se presume pública</w:t>
      </w:r>
      <w:r w:rsidRPr="00D71D85">
        <w:rPr>
          <w:rFonts w:ascii="Times New Roman" w:hAnsi="Times New Roman" w:cs="Times New Roman"/>
          <w:sz w:val="24"/>
          <w:szCs w:val="24"/>
        </w:rPr>
        <w:t>, debiendo facilitarse su acceso salvo excepciones expresamente previstas;</w:t>
      </w:r>
    </w:p>
    <w:p w14:paraId="00000018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Ley Nacional N° 27.275 de Derecho de Acceso a la Información Pública</w:t>
      </w:r>
      <w:r w:rsidRPr="00D71D85">
        <w:rPr>
          <w:rFonts w:ascii="Times New Roman" w:hAnsi="Times New Roman" w:cs="Times New Roman"/>
          <w:sz w:val="24"/>
          <w:szCs w:val="24"/>
        </w:rPr>
        <w:t xml:space="preserve"> establece como principio rector el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máxima divulgación</w:t>
      </w:r>
      <w:r w:rsidRPr="00D71D85">
        <w:rPr>
          <w:rFonts w:ascii="Times New Roman" w:hAnsi="Times New Roman" w:cs="Times New Roman"/>
          <w:sz w:val="24"/>
          <w:szCs w:val="24"/>
        </w:rPr>
        <w:t>, conforme al cual toda información en poder del Estado debe considerarse accesible salvo excepciones taxativamente previstas;</w:t>
      </w:r>
    </w:p>
    <w:p w14:paraId="00000019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en el ámbito de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Provincia de Buenos Aires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el acceso a la información pública se encuentra garantizado por diversas normas y principios que promueven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transparencia institucional y la publicidad de la actividad estatal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A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lastRenderedPageBreak/>
        <w:t xml:space="preserve">Que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Poder Judicial de la Provincia de Buenos Aires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 no se encuentra excluido del principio de publicidad respecto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información estadística o institucional</w:t>
      </w:r>
      <w:r w:rsidRPr="00D71D85">
        <w:rPr>
          <w:rFonts w:ascii="Times New Roman" w:hAnsi="Times New Roman" w:cs="Times New Roman"/>
          <w:sz w:val="24"/>
          <w:szCs w:val="24"/>
        </w:rPr>
        <w:t xml:space="preserve">, especialmente cuando se trata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datos agregados que no comprometen investigaciones judiciales en curso ni involucran datos personales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1B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Suprema Corte de Justicia de la Provincia de Buenos Aires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mediante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Acuerdo N° 3362</w:t>
      </w:r>
      <w:r w:rsidRPr="00D71D85">
        <w:rPr>
          <w:rFonts w:ascii="Times New Roman" w:hAnsi="Times New Roman" w:cs="Times New Roman"/>
          <w:sz w:val="24"/>
          <w:szCs w:val="24"/>
        </w:rPr>
        <w:t xml:space="preserve">, creó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Área de Estadísticas de la Administración de Justicia</w:t>
      </w:r>
      <w:r w:rsidRPr="00D71D85">
        <w:rPr>
          <w:rFonts w:ascii="Times New Roman" w:hAnsi="Times New Roman" w:cs="Times New Roman"/>
          <w:sz w:val="24"/>
          <w:szCs w:val="24"/>
        </w:rPr>
        <w:t xml:space="preserve"> en el ámbito de la Subsecretaría de Planificación, con la misión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producir y proveer la información necesaria para la adopción de decisiones y para el control de gestión de los organismos de la Administración de Justicia </w:t>
      </w:r>
      <w:r w:rsidRPr="00D71D85">
        <w:rPr>
          <w:rFonts w:ascii="Times New Roman" w:hAnsi="Times New Roman" w:cs="Times New Roman"/>
          <w:sz w:val="24"/>
          <w:szCs w:val="24"/>
        </w:rPr>
        <w:t>(Ac. 3362);</w:t>
      </w:r>
    </w:p>
    <w:p w14:paraId="0000001C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dicha normativa reconoce que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la información estadística resulta imprescindible para diseñar la política judicial, evaluar el desempeño de los órganos jurisdiccionales y adoptar decisiones institucionales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destacando además la creciente demanda de estos datos tanto por parte de organismos internos como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entidades externas al Poder Judicial </w:t>
      </w:r>
      <w:r w:rsidRPr="00D71D85">
        <w:rPr>
          <w:rFonts w:ascii="Times New Roman" w:hAnsi="Times New Roman" w:cs="Times New Roman"/>
          <w:sz w:val="24"/>
          <w:szCs w:val="24"/>
        </w:rPr>
        <w:t>(Ac. 3362);</w:t>
      </w:r>
    </w:p>
    <w:p w14:paraId="0000001D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el mencionado acuerdo establece entre las funciones del sistema estadístico judicial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la recolección, procesamiento y análisis de datos provenientes de los distintos órganos jurisdiccionales</w:t>
      </w:r>
      <w:r w:rsidRPr="00D71D85">
        <w:rPr>
          <w:rFonts w:ascii="Times New Roman" w:hAnsi="Times New Roman" w:cs="Times New Roman"/>
          <w:sz w:val="24"/>
          <w:szCs w:val="24"/>
        </w:rPr>
        <w:t>, así como la elaboración de informes que permitan conocer el funcionamiento de la administración de justicia (Ac. 3362);</w:t>
      </w:r>
    </w:p>
    <w:p w14:paraId="0000001E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posteriormente la Suprema Corte de Justicia, mediante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Acuerdo N° 3623</w:t>
      </w:r>
      <w:r w:rsidRPr="00D71D85">
        <w:rPr>
          <w:rFonts w:ascii="Times New Roman" w:hAnsi="Times New Roman" w:cs="Times New Roman"/>
          <w:sz w:val="24"/>
          <w:szCs w:val="24"/>
        </w:rPr>
        <w:t xml:space="preserve">, aprobó el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Reglamento para la recolección y tratamiento de datos por parte del Área de Estadísticas de la Administración de Justicia</w:t>
      </w:r>
      <w:r w:rsidRPr="00D71D85">
        <w:rPr>
          <w:rFonts w:ascii="Times New Roman" w:hAnsi="Times New Roman" w:cs="Times New Roman"/>
          <w:sz w:val="24"/>
          <w:szCs w:val="24"/>
        </w:rPr>
        <w:t xml:space="preserve">, estableciendo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obligación de todos los órganos jurisdiccionales de informar periódicamente planillas estadísticas de gestión</w:t>
      </w:r>
      <w:r w:rsidRPr="00D71D85">
        <w:rPr>
          <w:rFonts w:ascii="Times New Roman" w:hAnsi="Times New Roman" w:cs="Times New Roman"/>
          <w:sz w:val="24"/>
          <w:szCs w:val="24"/>
        </w:rPr>
        <w:t xml:space="preserve"> con los datos relativos al movimiento de causas (Ac. 3623);</w:t>
      </w:r>
    </w:p>
    <w:p w14:paraId="0000001F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dicho reglamento dispone que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los titulares de los órganos jurisdiccionales deben completar y remitir información estadística utilizando los sistemas informáticos provistos por el Poder Judicial</w:t>
      </w:r>
      <w:r w:rsidRPr="00D71D85">
        <w:rPr>
          <w:rFonts w:ascii="Times New Roman" w:hAnsi="Times New Roman" w:cs="Times New Roman"/>
          <w:sz w:val="24"/>
          <w:szCs w:val="24"/>
        </w:rPr>
        <w:t>, consignando datos relativos al ingreso, trámite, egreso y demás indicadores vinculados al funcionamiento de los procesos judiciales (Ac. 3623);</w:t>
      </w:r>
    </w:p>
    <w:p w14:paraId="00000020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lastRenderedPageBreak/>
        <w:t xml:space="preserve">Que la normativa citada establece asimismo que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la información estadística se obtiene a partir de los registros realizados en los sistemas de gestión jurisdiccional y en la base de datos provincial centralizada</w:t>
      </w:r>
      <w:r w:rsidRPr="00D71D85">
        <w:rPr>
          <w:rFonts w:ascii="Times New Roman" w:hAnsi="Times New Roman" w:cs="Times New Roman"/>
          <w:sz w:val="24"/>
          <w:szCs w:val="24"/>
        </w:rPr>
        <w:t>, lo cual evidencia que los datos agregados sobre la actividad judicial forman parte de los mecanismos ordinarios de registro y control institucional del Poder Judicial (Ac. 3623);</w:t>
      </w:r>
    </w:p>
    <w:p w14:paraId="00000021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de lo expuesto se desprende que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la producción y sistematización de información estadística constituye una obligación institucional de los órganos judiciales</w:t>
      </w:r>
      <w:r w:rsidRPr="00D71D85">
        <w:rPr>
          <w:rFonts w:ascii="Times New Roman" w:hAnsi="Times New Roman" w:cs="Times New Roman"/>
          <w:sz w:val="24"/>
          <w:szCs w:val="24"/>
        </w:rPr>
        <w:t>, destinada a permitir el control de gestión, la planificación institucional y la publicidad de los indicadores de funcionamiento del sistema judicial;</w:t>
      </w:r>
    </w:p>
    <w:p w14:paraId="00000022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en consecuencia, la información solicitada en el presente pedido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no implica la elaboración de datos inexistentes ni la revisión de expedientes judiciales particulares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sino la provisión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información agregada que forma parte de los registros que el propio Poder Judicial debe producir conforme a la normativa de la Suprema Corte de Justicia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23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independencia judicial</w:t>
      </w:r>
      <w:r w:rsidRPr="00D71D85">
        <w:rPr>
          <w:rFonts w:ascii="Times New Roman" w:hAnsi="Times New Roman" w:cs="Times New Roman"/>
          <w:sz w:val="24"/>
          <w:szCs w:val="24"/>
        </w:rPr>
        <w:t xml:space="preserve"> garantiza la libertad de los magistrados en el ejercicio de la función jurisdiccional, pero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no puede interpretarse como una limitación a la transparencia institucional cuando se trata de información estadística o administrativa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24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en consecuencia, el principio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división de poderes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lejos de constituir un obstáculo para el acceso a información institucional, supone la existencia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mecanismos de cooperación, control y transparencia entre los distintos órganos del Estado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25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producción de estadísticas judiciales constituye además una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herramienta fundamental para el diseño de políticas públicas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particularmente en materia de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seguridad y prevención del delito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26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los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gobiernos locales</w:t>
      </w:r>
      <w:r w:rsidRPr="00D71D85">
        <w:rPr>
          <w:rFonts w:ascii="Times New Roman" w:hAnsi="Times New Roman" w:cs="Times New Roman"/>
          <w:sz w:val="24"/>
          <w:szCs w:val="24"/>
        </w:rPr>
        <w:t xml:space="preserve">, en su carácter de primer nivel de contacto con la ciudadanía, requieren información confiable que permita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comprender fenómenos delictivos que impactan directamente en la vida cotidiana de los vecinos</w:t>
      </w:r>
      <w:r w:rsidRPr="00D71D85">
        <w:rPr>
          <w:rFonts w:ascii="Times New Roman" w:hAnsi="Times New Roman" w:cs="Times New Roman"/>
          <w:sz w:val="24"/>
          <w:szCs w:val="24"/>
        </w:rPr>
        <w:t>;</w:t>
      </w:r>
    </w:p>
    <w:p w14:paraId="00000027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lastRenderedPageBreak/>
        <w:t xml:space="preserve">Que en particular resulta relevante conocer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dimensión cuantitativa de las medidas de prisión domiciliaria vinculadas a delitos de narcotráfico</w:t>
      </w:r>
      <w:r w:rsidRPr="00D71D85">
        <w:rPr>
          <w:rFonts w:ascii="Times New Roman" w:hAnsi="Times New Roman" w:cs="Times New Roman"/>
          <w:sz w:val="24"/>
          <w:szCs w:val="24"/>
        </w:rPr>
        <w:t>, a efectos de analizar su impacto en el territorio;</w:t>
      </w:r>
    </w:p>
    <w:p w14:paraId="00000028" w14:textId="77777777" w:rsidR="006D0B23" w:rsidRPr="00D71D85" w:rsidRDefault="004B6EBC" w:rsidP="00D71D85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Que la información solicitada reviste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carácter exclusivamente estadístico y agregado</w:t>
      </w:r>
      <w:r w:rsidRPr="00D71D85">
        <w:rPr>
          <w:rFonts w:ascii="Times New Roman" w:hAnsi="Times New Roman" w:cs="Times New Roman"/>
          <w:sz w:val="24"/>
          <w:szCs w:val="24"/>
        </w:rPr>
        <w:t>, no requiriéndose datos personales ni información que pudiera comprometer investigaciones judiciales en curso.</w:t>
      </w:r>
    </w:p>
    <w:p w14:paraId="75A8BF4A" w14:textId="65BF6DF2" w:rsidR="00F235AC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Por ello, los bloques </w:t>
      </w:r>
      <w:r w:rsidR="00F235AC" w:rsidRPr="00D71D85">
        <w:rPr>
          <w:rFonts w:ascii="Times New Roman" w:hAnsi="Times New Roman" w:cs="Times New Roman"/>
          <w:sz w:val="24"/>
          <w:szCs w:val="24"/>
        </w:rPr>
        <w:t>Potencia y GEN</w:t>
      </w:r>
      <w:r w:rsidRPr="00D71D85">
        <w:rPr>
          <w:rFonts w:ascii="Times New Roman" w:hAnsi="Times New Roman" w:cs="Times New Roman"/>
          <w:sz w:val="24"/>
          <w:szCs w:val="24"/>
        </w:rPr>
        <w:t xml:space="preserve"> en atribución a las facultades que le confiere la Ley Orgánica de las Municipalidades, proponen el siguiente:</w:t>
      </w:r>
    </w:p>
    <w:p w14:paraId="0000002A" w14:textId="4CA5EAED" w:rsidR="006D0B23" w:rsidRPr="00D71D85" w:rsidRDefault="004B6EBC" w:rsidP="00D71D85">
      <w:pPr>
        <w:pStyle w:val="Ttulo1"/>
        <w:keepNext w:val="0"/>
        <w:keepLines w:val="0"/>
        <w:spacing w:before="4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1" w:name="_7ne6ukvr8xcn" w:colFirst="0" w:colLast="0"/>
      <w:bookmarkEnd w:id="1"/>
      <w:r w:rsidRPr="00D71D85">
        <w:rPr>
          <w:rFonts w:ascii="Times New Roman" w:hAnsi="Times New Roman" w:cs="Times New Roman"/>
          <w:b/>
          <w:bCs/>
          <w:sz w:val="24"/>
          <w:szCs w:val="24"/>
          <w:u w:val="single"/>
        </w:rPr>
        <w:t>PROYECTO DE COMUNICACIÓN</w:t>
      </w:r>
      <w:r w:rsidR="00D71D85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2B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1°: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Requiérase al Juzgado de Garantías N° 5 del Departamento Judicial Dolores, con competencia en el partido de Chascomús, que remita a este Honorable Concejo Deliberante la información detallada en los artículos siguientes.</w:t>
      </w:r>
    </w:p>
    <w:p w14:paraId="0000002C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2°: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Solicitar al Sr. Juez a cargo del Juzgado de Garantías N° 5 del Departamento Judicial Dolores que, en el marco de los sistemas de registración y gestión estadística previstos por la Suprema Corte de Justicia de la Provincia de Buenos Aires —en particular los establecidos por los Acuerdos N° 3362 y N° 3623—, remita copia de las planilla denominada “P1 ESTADÍSTICAS DE CAUSAS - FUERO PENAL - GARANTIAS” o de cualquier otro reporte estadístico equivalente que contenga la misma información,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71D85">
        <w:rPr>
          <w:rFonts w:ascii="Times New Roman" w:hAnsi="Times New Roman" w:cs="Times New Roman"/>
          <w:sz w:val="24"/>
          <w:szCs w:val="24"/>
        </w:rPr>
        <w:t>que ese Juzgado confecciona y eleva periódicamente a la Subsecretaría de Control de Gestión de la Suprema Corte o a los organismos competentes en materia de estadística judicial, correspondientes al período 2024–2025 y a enero, febrero y marzo de 2026.</w:t>
      </w:r>
    </w:p>
    <w:p w14:paraId="0000002D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3°: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Asimismo, solicitamos al Sr. Juez tenga a bien informar de manera complementaria:</w:t>
      </w:r>
    </w:p>
    <w:p w14:paraId="0000002E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a) El número total de personas que actualmente se encuentran cumpliendo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prisión domiciliaria</w:t>
      </w:r>
      <w:r w:rsidRPr="00D71D85">
        <w:rPr>
          <w:rFonts w:ascii="Times New Roman" w:hAnsi="Times New Roman" w:cs="Times New Roman"/>
          <w:sz w:val="24"/>
          <w:szCs w:val="24"/>
        </w:rPr>
        <w:t xml:space="preserve"> por disposición de ese Juzgado.</w:t>
      </w:r>
      <w:r w:rsidRPr="00D71D85">
        <w:rPr>
          <w:rFonts w:ascii="Times New Roman" w:hAnsi="Times New Roman" w:cs="Times New Roman"/>
          <w:sz w:val="24"/>
          <w:szCs w:val="24"/>
        </w:rPr>
        <w:br/>
      </w:r>
      <w:r w:rsidRPr="00D71D85">
        <w:rPr>
          <w:rFonts w:ascii="Times New Roman" w:hAnsi="Times New Roman" w:cs="Times New Roman"/>
          <w:sz w:val="24"/>
          <w:szCs w:val="24"/>
        </w:rPr>
        <w:lastRenderedPageBreak/>
        <w:t xml:space="preserve">b) Dentro de ese universo, cuántas se encuentran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imputadas por los delitos previstos en la Ley 23.737.</w:t>
      </w:r>
    </w:p>
    <w:p w14:paraId="0000002F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4°: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Requerir asimismo que el Sr. Juez informe, en relación con la persona identificada como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Fátima Luna</w:t>
      </w:r>
      <w:r w:rsidRPr="00D71D85">
        <w:rPr>
          <w:rFonts w:ascii="Times New Roman" w:hAnsi="Times New Roman" w:cs="Times New Roman"/>
          <w:sz w:val="24"/>
          <w:szCs w:val="24"/>
        </w:rPr>
        <w:t xml:space="preserve">, detenida recientemente en el marco de un procedimiento de allanamiento realizado el día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4 de marzo de 2026</w:t>
      </w:r>
      <w:r w:rsidRPr="00D71D85">
        <w:rPr>
          <w:rFonts w:ascii="Times New Roman" w:hAnsi="Times New Roman" w:cs="Times New Roman"/>
          <w:sz w:val="24"/>
          <w:szCs w:val="24"/>
        </w:rPr>
        <w:t xml:space="preserve"> en el domicilio sito en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Garay 222 de la ciudad de Chascomús</w:t>
      </w:r>
      <w:r w:rsidRPr="00D71D85">
        <w:rPr>
          <w:rFonts w:ascii="Times New Roman" w:hAnsi="Times New Roman" w:cs="Times New Roman"/>
          <w:sz w:val="24"/>
          <w:szCs w:val="24"/>
        </w:rPr>
        <w:t>, lo siguiente:</w:t>
      </w:r>
    </w:p>
    <w:p w14:paraId="00000030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 xml:space="preserve">a) Si dicha persona se encontraba cumpliendo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prisión domiciliaria u otra medida de atenuación de coerción</w:t>
      </w:r>
      <w:r w:rsidRPr="00D71D85">
        <w:rPr>
          <w:rFonts w:ascii="Times New Roman" w:hAnsi="Times New Roman" w:cs="Times New Roman"/>
          <w:sz w:val="24"/>
          <w:szCs w:val="24"/>
        </w:rPr>
        <w:t xml:space="preserve"> al momento del referido procedimiento.</w:t>
      </w:r>
      <w:r w:rsidRPr="00D71D85">
        <w:rPr>
          <w:rFonts w:ascii="Times New Roman" w:hAnsi="Times New Roman" w:cs="Times New Roman"/>
          <w:sz w:val="24"/>
          <w:szCs w:val="24"/>
        </w:rPr>
        <w:br/>
        <w:t xml:space="preserve">b) En su caso, en qué proceso penal fue dispuesta dicha medida y cuál fue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resolución judicial que otorgó la atenuación de la coerción</w:t>
      </w:r>
      <w:r w:rsidRPr="00D71D85">
        <w:rPr>
          <w:rFonts w:ascii="Times New Roman" w:hAnsi="Times New Roman" w:cs="Times New Roman"/>
          <w:sz w:val="24"/>
          <w:szCs w:val="24"/>
        </w:rPr>
        <w:t>.</w:t>
      </w:r>
      <w:r w:rsidRPr="00D71D85">
        <w:rPr>
          <w:rFonts w:ascii="Times New Roman" w:hAnsi="Times New Roman" w:cs="Times New Roman"/>
          <w:sz w:val="24"/>
          <w:szCs w:val="24"/>
        </w:rPr>
        <w:br/>
        <w:t xml:space="preserve">c)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Los fundamentos expresados en la resolución judicial </w:t>
      </w:r>
      <w:r w:rsidRPr="00D71D85">
        <w:rPr>
          <w:rFonts w:ascii="Times New Roman" w:hAnsi="Times New Roman" w:cs="Times New Roman"/>
          <w:sz w:val="24"/>
          <w:szCs w:val="24"/>
        </w:rPr>
        <w:t>al momento de conceder la medida de prisión domiciliaria.</w:t>
      </w:r>
      <w:r w:rsidRPr="00D71D85">
        <w:rPr>
          <w:rFonts w:ascii="Times New Roman" w:hAnsi="Times New Roman" w:cs="Times New Roman"/>
          <w:sz w:val="24"/>
          <w:szCs w:val="24"/>
        </w:rPr>
        <w:br/>
        <w:t xml:space="preserve">d) Si se ha dispuesto la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>revocación de dicha medida</w:t>
      </w:r>
      <w:r w:rsidRPr="00D71D85">
        <w:rPr>
          <w:rFonts w:ascii="Times New Roman" w:hAnsi="Times New Roman" w:cs="Times New Roman"/>
          <w:sz w:val="24"/>
          <w:szCs w:val="24"/>
        </w:rPr>
        <w:t xml:space="preserve"> con motivo del nuevo hecho investigado y el estado procesal actual de las actuaciones que se le siguen.</w:t>
      </w:r>
    </w:p>
    <w:p w14:paraId="00000031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sz w:val="24"/>
          <w:szCs w:val="24"/>
        </w:rPr>
        <w:t>Todo ello en virtud del interés público comprometido en el adecuado control institucional de las medidas de coerción personal y de su impacto en la seguridad pública local, y de la necesidad de contar con información institucional que permita a los órganos representativos de la comunidad ejercer adecuadamente sus funciones de control y seguimiento de las políticas públicas.</w:t>
      </w:r>
    </w:p>
    <w:p w14:paraId="00000032" w14:textId="77777777" w:rsidR="006D0B23" w:rsidRPr="00D71D85" w:rsidRDefault="004B6EBC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5°: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Comuníquese al </w:t>
      </w:r>
      <w:r w:rsidRPr="00D71D85">
        <w:rPr>
          <w:rFonts w:ascii="Times New Roman" w:hAnsi="Times New Roman" w:cs="Times New Roman"/>
          <w:b/>
          <w:bCs/>
          <w:sz w:val="24"/>
          <w:szCs w:val="24"/>
        </w:rPr>
        <w:t xml:space="preserve">Juzgado de Garantías N° 5 de Chascomús, </w:t>
      </w:r>
      <w:r w:rsidRPr="00D71D85">
        <w:rPr>
          <w:rFonts w:ascii="Times New Roman" w:hAnsi="Times New Roman" w:cs="Times New Roman"/>
          <w:sz w:val="24"/>
          <w:szCs w:val="24"/>
        </w:rPr>
        <w:t>Departamento Judicial Dolores.</w:t>
      </w:r>
    </w:p>
    <w:p w14:paraId="00000033" w14:textId="77777777" w:rsidR="006D0B23" w:rsidRPr="00D71D85" w:rsidRDefault="004B6EBC" w:rsidP="00D71D85">
      <w:pPr>
        <w:spacing w:before="240" w:after="24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D71D85">
        <w:rPr>
          <w:rFonts w:ascii="Times New Roman" w:hAnsi="Times New Roman" w:cs="Times New Roman"/>
          <w:b/>
          <w:bCs/>
          <w:sz w:val="24"/>
          <w:szCs w:val="24"/>
        </w:rPr>
        <w:t>ARTÍCULO 6°:</w:t>
      </w:r>
      <w:r w:rsidRPr="00D71D85">
        <w:rPr>
          <w:rFonts w:ascii="Times New Roman" w:hAnsi="Times New Roman" w:cs="Times New Roman"/>
          <w:sz w:val="24"/>
          <w:szCs w:val="24"/>
        </w:rPr>
        <w:t xml:space="preserve"> De forma.</w:t>
      </w:r>
    </w:p>
    <w:p w14:paraId="00000034" w14:textId="77777777" w:rsidR="006D0B23" w:rsidRPr="00D71D85" w:rsidRDefault="006D0B23" w:rsidP="00D71D85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35" w14:textId="77777777" w:rsidR="006D0B23" w:rsidRPr="00D71D85" w:rsidRDefault="006D0B23" w:rsidP="00D71D85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sectPr w:rsidR="006D0B23" w:rsidRPr="00D71D85">
      <w:headerReference w:type="default" r:id="rId6"/>
      <w:pgSz w:w="11906" w:h="16838"/>
      <w:pgMar w:top="2834" w:right="566" w:bottom="1133" w:left="28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3ED44" w14:textId="77777777" w:rsidR="009150B4" w:rsidRDefault="009150B4" w:rsidP="00F235AC">
      <w:pPr>
        <w:spacing w:line="240" w:lineRule="auto"/>
      </w:pPr>
      <w:r>
        <w:separator/>
      </w:r>
    </w:p>
  </w:endnote>
  <w:endnote w:type="continuationSeparator" w:id="0">
    <w:p w14:paraId="09F72021" w14:textId="77777777" w:rsidR="009150B4" w:rsidRDefault="009150B4" w:rsidP="00F235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42B937B-AE02-451B-9C04-95BD28665B38}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2" w:fontKey="{9E6FA0E7-3C1E-4A5F-A60A-4748713455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5070872-6810-443F-AB21-AC8C3283D6E3}"/>
    <w:embedBold r:id="rId4" w:fontKey="{A7A26570-4A7E-4CC6-8A44-40EE464033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966157-D675-4EC4-9C58-0FC8F68E1FE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856EFA" w14:textId="77777777" w:rsidR="009150B4" w:rsidRDefault="009150B4" w:rsidP="00F235AC">
      <w:pPr>
        <w:spacing w:line="240" w:lineRule="auto"/>
      </w:pPr>
      <w:r>
        <w:separator/>
      </w:r>
    </w:p>
  </w:footnote>
  <w:footnote w:type="continuationSeparator" w:id="0">
    <w:p w14:paraId="67DC37D9" w14:textId="77777777" w:rsidR="009150B4" w:rsidRDefault="009150B4" w:rsidP="00F235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1C1A2" w14:textId="77777777" w:rsidR="00D71D85" w:rsidRPr="00D71D85" w:rsidRDefault="00D71D85" w:rsidP="00D71D85">
    <w:pPr>
      <w:spacing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val="es-AR" w:eastAsia="es-ES"/>
      </w:rPr>
    </w:pPr>
    <w:r w:rsidRPr="00D71D85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 w:eastAsia="en-US"/>
      </w:rPr>
      <w:drawing>
        <wp:inline distT="0" distB="0" distL="0" distR="0" wp14:anchorId="07E1A9FB" wp14:editId="7742B2A9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8E6015" w14:textId="77777777" w:rsidR="00D71D85" w:rsidRPr="00D71D85" w:rsidRDefault="00D71D85" w:rsidP="00D71D85">
    <w:pPr>
      <w:keepNext/>
      <w:spacing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D71D85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Honorable Concejo Deliberante</w:t>
    </w:r>
  </w:p>
  <w:p w14:paraId="4608E5C3" w14:textId="77777777" w:rsidR="00D71D85" w:rsidRPr="00D71D85" w:rsidRDefault="00D71D85" w:rsidP="00D71D85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D71D85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Mitre 38-    Chascomús</w:t>
    </w:r>
  </w:p>
  <w:p w14:paraId="5E634567" w14:textId="77777777" w:rsidR="00D71D85" w:rsidRPr="00D71D85" w:rsidRDefault="00D71D85" w:rsidP="00D71D85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D71D85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Bloques POTENCIA-GEN</w:t>
    </w:r>
  </w:p>
  <w:p w14:paraId="216A58E9" w14:textId="77777777" w:rsidR="00D71D85" w:rsidRPr="00D71D85" w:rsidRDefault="00D71D85" w:rsidP="00D71D85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 w:eastAsia="en-US"/>
      </w:rPr>
    </w:pPr>
    <w:r w:rsidRPr="00D71D85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“</w:t>
    </w:r>
    <w:r w:rsidRPr="00D71D85">
      <w:rPr>
        <w:rFonts w:ascii="Times New Roman" w:eastAsia="Calibri" w:hAnsi="Times New Roman" w:cs="Times New Roman"/>
        <w:b/>
        <w:lang w:val="es-ES" w:eastAsia="en-US"/>
      </w:rPr>
      <w:t>2026: Año del 200° Aniversario de la Escuela Primaria N° 1 “Bernardino Rivadavia”</w:t>
    </w:r>
  </w:p>
  <w:p w14:paraId="2AF336A4" w14:textId="77777777" w:rsidR="00F235AC" w:rsidRDefault="00F235AC" w:rsidP="00D71D85">
    <w:pPr>
      <w:pStyle w:val="Encabezado"/>
      <w:ind w:right="709"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23"/>
    <w:rsid w:val="001279B2"/>
    <w:rsid w:val="004B6EBC"/>
    <w:rsid w:val="006D0B23"/>
    <w:rsid w:val="009150B4"/>
    <w:rsid w:val="00D71150"/>
    <w:rsid w:val="00D71D85"/>
    <w:rsid w:val="00F23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F814A"/>
  <w15:docId w15:val="{5323A497-05B1-BF4D-9DC7-1E6E3B0E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235A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35AC"/>
  </w:style>
  <w:style w:type="paragraph" w:styleId="Piedepgina">
    <w:name w:val="footer"/>
    <w:basedOn w:val="Normal"/>
    <w:link w:val="PiedepginaCar"/>
    <w:uiPriority w:val="99"/>
    <w:unhideWhenUsed/>
    <w:rsid w:val="00F235A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5AC"/>
  </w:style>
  <w:style w:type="paragraph" w:styleId="Textodeglobo">
    <w:name w:val="Balloon Text"/>
    <w:basedOn w:val="Normal"/>
    <w:link w:val="TextodegloboCar"/>
    <w:uiPriority w:val="99"/>
    <w:semiHidden/>
    <w:unhideWhenUsed/>
    <w:rsid w:val="00D71D8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D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SIMM</cp:lastModifiedBy>
  <cp:revision>2</cp:revision>
  <cp:lastPrinted>2026-03-10T14:57:00Z</cp:lastPrinted>
  <dcterms:created xsi:type="dcterms:W3CDTF">2026-03-10T18:38:00Z</dcterms:created>
  <dcterms:modified xsi:type="dcterms:W3CDTF">2026-03-10T18:38:00Z</dcterms:modified>
</cp:coreProperties>
</file>