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22AC6F0F" w:rsidR="00A97D8A" w:rsidRPr="00A3193B" w:rsidRDefault="00A97D8A" w:rsidP="00691ADD">
      <w:pPr>
        <w:spacing w:line="360" w:lineRule="auto"/>
        <w:jc w:val="right"/>
      </w:pPr>
      <w:bookmarkStart w:id="0" w:name="_GoBack"/>
      <w:bookmarkEnd w:id="0"/>
      <w:r w:rsidRPr="00A3193B">
        <w:t xml:space="preserve">                                                            Chascomús, </w:t>
      </w:r>
      <w:r w:rsidR="00072A5D">
        <w:t>9</w:t>
      </w:r>
      <w:r w:rsidR="0018576F" w:rsidRPr="00A3193B">
        <w:t xml:space="preserve"> </w:t>
      </w:r>
      <w:r w:rsidRPr="00A3193B">
        <w:t>de</w:t>
      </w:r>
      <w:r w:rsidR="007D57D5" w:rsidRPr="00A3193B">
        <w:t xml:space="preserve"> </w:t>
      </w:r>
      <w:r w:rsidR="005245A9">
        <w:t>junio</w:t>
      </w:r>
      <w:r w:rsidR="009E1C5A" w:rsidRPr="00A3193B">
        <w:t xml:space="preserve"> </w:t>
      </w:r>
      <w:r w:rsidRPr="00A3193B">
        <w:t>de</w:t>
      </w:r>
      <w:r w:rsidR="00724ED7" w:rsidRPr="00A3193B">
        <w:t>l</w:t>
      </w:r>
      <w:r w:rsidRPr="00A3193B">
        <w:t xml:space="preserve"> 20</w:t>
      </w:r>
      <w:r w:rsidR="002D7D73" w:rsidRPr="00A3193B">
        <w:t>2</w:t>
      </w:r>
      <w:r w:rsidR="002E4449" w:rsidRPr="00A3193B">
        <w:t>6</w:t>
      </w:r>
      <w:r w:rsidRPr="00A3193B">
        <w:t>.</w:t>
      </w:r>
      <w:r w:rsidR="00724ED7" w:rsidRPr="00A3193B">
        <w:t>-</w:t>
      </w:r>
    </w:p>
    <w:p w14:paraId="2B19CB6D" w14:textId="68D200DF" w:rsidR="00A97D8A" w:rsidRPr="00A3193B" w:rsidRDefault="00A97D8A" w:rsidP="005245A9">
      <w:pPr>
        <w:spacing w:line="360" w:lineRule="auto"/>
        <w:jc w:val="both"/>
        <w:rPr>
          <w:b/>
          <w:bCs/>
        </w:rPr>
      </w:pPr>
      <w:r w:rsidRPr="00A3193B">
        <w:rPr>
          <w:b/>
          <w:bCs/>
        </w:rPr>
        <w:t xml:space="preserve">Sr. </w:t>
      </w:r>
      <w:r w:rsidR="00922CA0" w:rsidRPr="00A3193B">
        <w:rPr>
          <w:b/>
          <w:bCs/>
        </w:rPr>
        <w:t>presidente</w:t>
      </w:r>
      <w:r w:rsidRPr="00A3193B">
        <w:rPr>
          <w:b/>
          <w:bCs/>
        </w:rPr>
        <w:t xml:space="preserve"> del</w:t>
      </w:r>
    </w:p>
    <w:p w14:paraId="179DD138" w14:textId="77777777" w:rsidR="00A97D8A" w:rsidRPr="00A3193B" w:rsidRDefault="00A97D8A" w:rsidP="005245A9">
      <w:pPr>
        <w:spacing w:line="360" w:lineRule="auto"/>
        <w:jc w:val="both"/>
        <w:rPr>
          <w:b/>
          <w:bCs/>
        </w:rPr>
      </w:pPr>
      <w:r w:rsidRPr="00A3193B">
        <w:rPr>
          <w:b/>
          <w:bCs/>
        </w:rPr>
        <w:t>Honorable Concejo Deliberante</w:t>
      </w:r>
    </w:p>
    <w:p w14:paraId="1C7002CD" w14:textId="20B13648" w:rsidR="00A97D8A" w:rsidRPr="00A3193B" w:rsidRDefault="00724ED7" w:rsidP="005245A9">
      <w:pPr>
        <w:spacing w:line="360" w:lineRule="auto"/>
        <w:jc w:val="both"/>
        <w:rPr>
          <w:b/>
          <w:bCs/>
        </w:rPr>
      </w:pPr>
      <w:r w:rsidRPr="00A3193B">
        <w:rPr>
          <w:b/>
          <w:bCs/>
        </w:rPr>
        <w:t>Oscar Freddy Toledo Barzola</w:t>
      </w:r>
    </w:p>
    <w:p w14:paraId="10282175" w14:textId="77777777" w:rsidR="008B661C" w:rsidRPr="00A3193B" w:rsidRDefault="008B661C" w:rsidP="005245A9">
      <w:pPr>
        <w:spacing w:line="360" w:lineRule="auto"/>
        <w:jc w:val="both"/>
        <w:rPr>
          <w:b/>
          <w:bCs/>
        </w:rPr>
      </w:pPr>
      <w:r w:rsidRPr="00A3193B">
        <w:rPr>
          <w:b/>
          <w:bCs/>
        </w:rPr>
        <w:t>S/D</w:t>
      </w:r>
    </w:p>
    <w:p w14:paraId="4CF37F54" w14:textId="77777777" w:rsidR="00922CA0" w:rsidRPr="00A3193B" w:rsidRDefault="00922CA0" w:rsidP="005245A9">
      <w:pPr>
        <w:spacing w:line="360" w:lineRule="auto"/>
        <w:jc w:val="both"/>
      </w:pPr>
    </w:p>
    <w:p w14:paraId="602AEE3A" w14:textId="406A66B8" w:rsidR="00A97D8A" w:rsidRPr="00A3193B" w:rsidRDefault="00A97D8A" w:rsidP="005245A9">
      <w:pPr>
        <w:spacing w:line="360" w:lineRule="auto"/>
        <w:jc w:val="both"/>
      </w:pPr>
      <w:r w:rsidRPr="00A3193B">
        <w:t>De nuestra consideración:</w:t>
      </w:r>
    </w:p>
    <w:p w14:paraId="6A020541" w14:textId="77777777" w:rsidR="00A97D8A" w:rsidRPr="00A3193B" w:rsidRDefault="00A97D8A" w:rsidP="005245A9">
      <w:pPr>
        <w:spacing w:line="360" w:lineRule="auto"/>
        <w:jc w:val="both"/>
      </w:pPr>
      <w:r w:rsidRPr="00A3193B">
        <w:t xml:space="preserve">   </w:t>
      </w:r>
      <w:r w:rsidR="005A239A" w:rsidRPr="00A3193B">
        <w:t xml:space="preserve">                                    </w:t>
      </w:r>
      <w:r w:rsidRPr="00A3193B">
        <w:t xml:space="preserve">  Remitimos copia del presente proyecto para ser incluida en el orden del día de la próxima sesión.</w:t>
      </w:r>
    </w:p>
    <w:p w14:paraId="6A9074D0" w14:textId="77777777" w:rsidR="00A97D8A" w:rsidRPr="00A3193B" w:rsidRDefault="00A97D8A" w:rsidP="005245A9">
      <w:pPr>
        <w:spacing w:line="360" w:lineRule="auto"/>
        <w:jc w:val="both"/>
        <w:rPr>
          <w:b/>
          <w:bCs/>
          <w:u w:val="single"/>
        </w:rPr>
      </w:pPr>
    </w:p>
    <w:p w14:paraId="644273E9" w14:textId="2A401B22" w:rsidR="00F44F91" w:rsidRPr="00A3193B" w:rsidRDefault="0026764E" w:rsidP="00691ADD">
      <w:pPr>
        <w:spacing w:line="360" w:lineRule="auto"/>
        <w:jc w:val="center"/>
        <w:rPr>
          <w:b/>
          <w:u w:val="single"/>
          <w:lang w:val="es-AR"/>
        </w:rPr>
      </w:pPr>
      <w:r w:rsidRPr="00A3193B">
        <w:rPr>
          <w:b/>
          <w:u w:val="single"/>
        </w:rPr>
        <w:t>Requiérase</w:t>
      </w:r>
      <w:r w:rsidR="00072A5D">
        <w:rPr>
          <w:b/>
          <w:u w:val="single"/>
        </w:rPr>
        <w:t xml:space="preserve"> </w:t>
      </w:r>
      <w:r w:rsidR="00072A5D" w:rsidRPr="00072A5D">
        <w:rPr>
          <w:b/>
          <w:u w:val="single"/>
        </w:rPr>
        <w:t>informes sobre la información estadística de la Secretaría de Seguridad Ciudadana</w:t>
      </w:r>
      <w:r w:rsidR="005245A9">
        <w:rPr>
          <w:b/>
          <w:u w:val="single"/>
        </w:rPr>
        <w:t>.-</w:t>
      </w:r>
    </w:p>
    <w:p w14:paraId="2B755922" w14:textId="77777777" w:rsidR="00003D5E" w:rsidRPr="00A3193B" w:rsidRDefault="00003D5E" w:rsidP="005245A9">
      <w:pPr>
        <w:spacing w:line="360" w:lineRule="auto"/>
        <w:jc w:val="both"/>
        <w:rPr>
          <w:b/>
          <w:u w:val="single"/>
        </w:rPr>
      </w:pPr>
    </w:p>
    <w:p w14:paraId="1063CAC2" w14:textId="77777777" w:rsidR="00A3193B" w:rsidRPr="00A3193B" w:rsidRDefault="00FF29F5" w:rsidP="005245A9">
      <w:pPr>
        <w:spacing w:line="360" w:lineRule="auto"/>
        <w:jc w:val="both"/>
        <w:rPr>
          <w:b/>
          <w:lang w:val="es-ES_tradnl"/>
        </w:rPr>
      </w:pPr>
      <w:r w:rsidRPr="00A3193B">
        <w:rPr>
          <w:b/>
          <w:lang w:val="es-ES_tradnl"/>
        </w:rPr>
        <w:t>Visto:</w:t>
      </w:r>
    </w:p>
    <w:p w14:paraId="64659752" w14:textId="5DD1C0B6" w:rsidR="005B19F0" w:rsidRPr="00A3193B" w:rsidRDefault="00A3193B" w:rsidP="005245A9">
      <w:pPr>
        <w:spacing w:line="360" w:lineRule="auto"/>
        <w:ind w:firstLine="708"/>
        <w:jc w:val="both"/>
        <w:rPr>
          <w:b/>
          <w:lang w:val="es-ES_tradnl"/>
        </w:rPr>
      </w:pPr>
      <w:r w:rsidRPr="00A3193B">
        <w:t xml:space="preserve"> </w:t>
      </w:r>
      <w:r w:rsidR="00072A5D" w:rsidRPr="00072A5D">
        <w:t>La documentación estadística entregada por la Secretaría de Seguridad Ciudadana del Municipio de Chascomús —cuatro informes anuales (2022-2025) y cuarenta y seis informes mensuales (julio de 2022 a abril de 2026), junto a sus antecedentes, entre ellos el Plan de Seguridad Integral 2025-2027— aportada a este Cuerpo a raíz de la interpelación a funcionarios del DE: y</w:t>
      </w:r>
    </w:p>
    <w:p w14:paraId="2E928076" w14:textId="77777777" w:rsidR="00473C60" w:rsidRPr="00A3193B" w:rsidRDefault="00473C60" w:rsidP="005245A9">
      <w:pPr>
        <w:spacing w:line="360" w:lineRule="auto"/>
        <w:jc w:val="both"/>
        <w:rPr>
          <w:rFonts w:eastAsia="Verdana"/>
          <w:lang w:val="es-AR"/>
        </w:rPr>
      </w:pPr>
    </w:p>
    <w:p w14:paraId="4556F1A1" w14:textId="7717781B" w:rsidR="00473C60" w:rsidRPr="00A3193B" w:rsidRDefault="00473C60" w:rsidP="005245A9">
      <w:pPr>
        <w:spacing w:line="360" w:lineRule="auto"/>
        <w:jc w:val="both"/>
        <w:rPr>
          <w:rFonts w:eastAsia="Verdana"/>
          <w:b/>
          <w:bCs/>
          <w:lang w:val="es-AR"/>
        </w:rPr>
      </w:pPr>
      <w:r w:rsidRPr="00A3193B">
        <w:rPr>
          <w:rFonts w:eastAsia="Verdana"/>
          <w:b/>
          <w:bCs/>
          <w:lang w:val="es-AR"/>
        </w:rPr>
        <w:t xml:space="preserve">Considerando: </w:t>
      </w:r>
    </w:p>
    <w:p w14:paraId="6BF6C27F" w14:textId="77777777" w:rsidR="00072A5D" w:rsidRPr="00072A5D" w:rsidRDefault="00072A5D" w:rsidP="00072A5D">
      <w:pPr>
        <w:spacing w:line="360" w:lineRule="auto"/>
        <w:ind w:firstLine="708"/>
        <w:jc w:val="both"/>
        <w:rPr>
          <w:rFonts w:eastAsia="Verdana"/>
          <w:lang w:val="es-AR"/>
        </w:rPr>
      </w:pPr>
      <w:r w:rsidRPr="00072A5D">
        <w:rPr>
          <w:rFonts w:eastAsia="Verdana"/>
          <w:lang w:val="es-AR"/>
        </w:rPr>
        <w:t>Que es función propia de este Honorable Concejo Deliberante el control de los actos del Departamento Ejecutivo, en el marco de las facultades que la Ley Orgánica de las Municipalidades (Decreto-Ley N° 6769/58) y el Reglamento Interno de este Cuerpo reconocen, así como el seguimiento de la política de seguridad local en los términos de la Ley provincial N° 12.154;</w:t>
      </w:r>
    </w:p>
    <w:p w14:paraId="74907812" w14:textId="77777777" w:rsidR="00072A5D" w:rsidRPr="00072A5D" w:rsidRDefault="00072A5D" w:rsidP="00072A5D">
      <w:pPr>
        <w:spacing w:line="360" w:lineRule="auto"/>
        <w:ind w:firstLine="708"/>
        <w:jc w:val="both"/>
        <w:rPr>
          <w:rFonts w:eastAsia="Verdana"/>
          <w:lang w:val="es-AR"/>
        </w:rPr>
      </w:pPr>
      <w:r w:rsidRPr="00072A5D">
        <w:rPr>
          <w:rFonts w:eastAsia="Verdana"/>
          <w:lang w:val="es-AR"/>
        </w:rPr>
        <w:t xml:space="preserve">Que del análisis de la totalidad de la documentación referida surge que la información no permite establecer una serie única y comparable de la evolución del delito en el Partido, por cuanto conviven al menos seis fuentes de datos distintas —Estación de Policía Comunal (EPC), Ministerio Público Fiscal (MPF), Comisaría Primera, Comando de Patrulla Rural, Centro de </w:t>
      </w:r>
      <w:r w:rsidRPr="00072A5D">
        <w:rPr>
          <w:rFonts w:eastAsia="Verdana"/>
          <w:lang w:val="es-AR"/>
        </w:rPr>
        <w:lastRenderedPageBreak/>
        <w:t>Monitoreo y partes policiales—, que arrojan cifras diferentes para conceptos equivalentes sin que se aclare, en cada gráfico o tabla, cuál se utiliza;</w:t>
      </w:r>
    </w:p>
    <w:p w14:paraId="655B4725" w14:textId="77777777" w:rsidR="00072A5D" w:rsidRPr="00072A5D" w:rsidRDefault="00072A5D" w:rsidP="00072A5D">
      <w:pPr>
        <w:spacing w:line="360" w:lineRule="auto"/>
        <w:jc w:val="both"/>
        <w:rPr>
          <w:rFonts w:eastAsia="Verdana"/>
          <w:lang w:val="es-AR"/>
        </w:rPr>
      </w:pPr>
      <w:r w:rsidRPr="00072A5D">
        <w:rPr>
          <w:rFonts w:eastAsia="Verdana"/>
          <w:lang w:val="es-AR"/>
        </w:rPr>
        <w:t>Que a modo de ejemplo, para los robos y hurtos de un mismo mes (abril de 2026) la documentación informa tres cifras distintas según la fuente: 39, 51 y 43;</w:t>
      </w:r>
    </w:p>
    <w:p w14:paraId="79C532FA" w14:textId="77777777" w:rsidR="00072A5D" w:rsidRPr="00072A5D" w:rsidRDefault="00072A5D" w:rsidP="00072A5D">
      <w:pPr>
        <w:spacing w:line="360" w:lineRule="auto"/>
        <w:ind w:firstLine="708"/>
        <w:jc w:val="both"/>
        <w:rPr>
          <w:rFonts w:eastAsia="Verdana"/>
          <w:lang w:val="es-AR"/>
        </w:rPr>
      </w:pPr>
      <w:r w:rsidRPr="00072A5D">
        <w:rPr>
          <w:rFonts w:eastAsia="Verdana"/>
          <w:lang w:val="es-AR"/>
        </w:rPr>
        <w:t>Que los informes anuales presentan, para un mismo año, tres totales de delito que no coinciden —por ejemplo, para 2024: 2.447 (gráfico de “evolución del delito”), 2.085 (suma de la tabla por categoría) y 1.355 (“denuncias mensuales recibidas”)— y la suma de la tabla por categoría nunca alcanza el total graficado (con brechas de entre 219 y 739 casos);</w:t>
      </w:r>
    </w:p>
    <w:p w14:paraId="1D41872D" w14:textId="77777777" w:rsidR="00072A5D" w:rsidRPr="00072A5D" w:rsidRDefault="00072A5D" w:rsidP="00072A5D">
      <w:pPr>
        <w:spacing w:line="360" w:lineRule="auto"/>
        <w:ind w:firstLine="708"/>
        <w:jc w:val="both"/>
        <w:rPr>
          <w:rFonts w:eastAsia="Verdana"/>
          <w:lang w:val="es-AR"/>
        </w:rPr>
      </w:pPr>
      <w:r w:rsidRPr="00072A5D">
        <w:rPr>
          <w:rFonts w:eastAsia="Verdana"/>
          <w:lang w:val="es-AR"/>
        </w:rPr>
        <w:t>Que la serie histórica de robos y hurtos correspondiente a los años 2021, 2022 y 2023 fue modificada entre los informes anuales 2022-2023 y 2024-2025 (por ejemplo, robos 2022: de 258 a 292; hurtos 2022: de 396 a 466), sin nota aclaratoria, y la fila “defraudación informática”, entre otras, fue reescrita (el dato de 2023 pasó de 93 a 0);</w:t>
      </w:r>
    </w:p>
    <w:p w14:paraId="75EB819E" w14:textId="77777777" w:rsidR="00072A5D" w:rsidRPr="00072A5D" w:rsidRDefault="00072A5D" w:rsidP="00072A5D">
      <w:pPr>
        <w:spacing w:line="360" w:lineRule="auto"/>
        <w:ind w:firstLine="708"/>
        <w:jc w:val="both"/>
        <w:rPr>
          <w:rFonts w:eastAsia="Verdana"/>
          <w:lang w:val="es-AR"/>
        </w:rPr>
      </w:pPr>
      <w:r w:rsidRPr="00072A5D">
        <w:rPr>
          <w:rFonts w:eastAsia="Verdana"/>
          <w:lang w:val="es-AR"/>
        </w:rPr>
        <w:t>Que la serie de denuncias presenta al menos tres cambios de criterio o de fuente —hacia mediados de 2022; en agosto de 2023, cuando, según consigna la propia Secretaría, “por orden de la superintendencia de seguridad Región Atlántica” se pasó a comunicar “todos los preventivos recibidos por día”, con el consiguiente “incremento de los números reflejados en los informes”; y hacia septiembre-octubre de 2024, con el cambio de la Comisaría/EPC al Ministerio Público Fiscal—, lo que altera la magnitud de las cifras y vuelve incomparables los años entre sí; al punto que los informes anuales continúan utilizando la serie EPC (1.355 denuncias en 2024) mientras los informes mensuales pasaron a la serie del MPF (de magnitud dos a tres veces mayor);</w:t>
      </w:r>
    </w:p>
    <w:p w14:paraId="66D8740C" w14:textId="77777777" w:rsidR="00072A5D" w:rsidRPr="00072A5D" w:rsidRDefault="00072A5D" w:rsidP="00072A5D">
      <w:pPr>
        <w:spacing w:line="360" w:lineRule="auto"/>
        <w:ind w:firstLine="708"/>
        <w:jc w:val="both"/>
        <w:rPr>
          <w:rFonts w:eastAsia="Verdana"/>
          <w:lang w:val="es-AR"/>
        </w:rPr>
      </w:pPr>
      <w:r w:rsidRPr="00072A5D">
        <w:rPr>
          <w:rFonts w:eastAsia="Verdana"/>
          <w:lang w:val="es-AR"/>
        </w:rPr>
        <w:t>Que la revisión completa de los informes mensuales detectó, además, diferencias puntuales con los anuales sin explicar —por caso, mayo de 2024 figura como 110 denuncias en los informes mensuales y como 122 en el anual—;</w:t>
      </w:r>
    </w:p>
    <w:p w14:paraId="18E8CEB2" w14:textId="77777777" w:rsidR="00072A5D" w:rsidRPr="00072A5D" w:rsidRDefault="00072A5D" w:rsidP="00072A5D">
      <w:pPr>
        <w:spacing w:line="360" w:lineRule="auto"/>
        <w:ind w:firstLine="708"/>
        <w:jc w:val="both"/>
        <w:rPr>
          <w:rFonts w:eastAsia="Verdana"/>
          <w:lang w:val="es-AR"/>
        </w:rPr>
      </w:pPr>
      <w:r w:rsidRPr="00072A5D">
        <w:rPr>
          <w:rFonts w:eastAsia="Verdana"/>
          <w:lang w:val="es-AR"/>
        </w:rPr>
        <w:t>Que se registran datos que merecen aclaración, tales como cero suicidios en todo el año 2024 (entre 2 en 2023 y 8 en 2025), y una divergencia entre los fallecidos en siniestros viales de 2025 (9) y los homicidios culposos de 2025 (5), además de errores de rotulado en gráficos y tablas;</w:t>
      </w:r>
    </w:p>
    <w:p w14:paraId="364E5071" w14:textId="77777777" w:rsidR="00072A5D" w:rsidRPr="00072A5D" w:rsidRDefault="00072A5D" w:rsidP="00072A5D">
      <w:pPr>
        <w:spacing w:line="360" w:lineRule="auto"/>
        <w:ind w:firstLine="708"/>
        <w:jc w:val="both"/>
        <w:rPr>
          <w:rFonts w:eastAsia="Verdana"/>
          <w:lang w:val="es-AR"/>
        </w:rPr>
      </w:pPr>
      <w:r w:rsidRPr="00072A5D">
        <w:rPr>
          <w:rFonts w:eastAsia="Verdana"/>
          <w:lang w:val="es-AR"/>
        </w:rPr>
        <w:t>Que el propio Plan de Seguridad Integral 2025-2027 del Departamento Ejecutivo establece el estándar metodológico que estos informes incumplen, al sostener que</w:t>
      </w:r>
    </w:p>
    <w:p w14:paraId="7570C75B" w14:textId="77777777" w:rsidR="00072A5D" w:rsidRPr="00072A5D" w:rsidRDefault="00072A5D" w:rsidP="00072A5D">
      <w:pPr>
        <w:spacing w:line="360" w:lineRule="auto"/>
        <w:jc w:val="both"/>
        <w:rPr>
          <w:rFonts w:eastAsia="Verdana"/>
          <w:lang w:val="es-AR"/>
        </w:rPr>
      </w:pPr>
      <w:r w:rsidRPr="00072A5D">
        <w:rPr>
          <w:rFonts w:eastAsia="Verdana"/>
          <w:lang w:val="es-AR"/>
        </w:rPr>
        <w:lastRenderedPageBreak/>
        <w:t>“Conciliar diferentes fuentes administrativas con la finalidad de transformarlos en insumos para el análisis criminal resulta una tarea imprescindible para una gestión basada en la evidencia”,</w:t>
      </w:r>
    </w:p>
    <w:p w14:paraId="029CD2C4" w14:textId="77777777" w:rsidR="00072A5D" w:rsidRPr="00072A5D" w:rsidRDefault="00072A5D" w:rsidP="00072A5D">
      <w:pPr>
        <w:spacing w:line="360" w:lineRule="auto"/>
        <w:jc w:val="both"/>
        <w:rPr>
          <w:rFonts w:eastAsia="Verdana"/>
          <w:lang w:val="es-AR"/>
        </w:rPr>
      </w:pPr>
      <w:r w:rsidRPr="00072A5D">
        <w:rPr>
          <w:rFonts w:eastAsia="Verdana"/>
          <w:lang w:val="es-AR"/>
        </w:rPr>
        <w:t>y al definir como función del área de análisis criminal que se propone crear la de “armonizar distintas fuentes de información […], garantizando registros homogéneos, consistentes y actualizados”, e invocar un “registro único” administrado desde el Centro Operativo de Monitoreo;</w:t>
      </w:r>
    </w:p>
    <w:p w14:paraId="3BEC10E1" w14:textId="554E6179" w:rsidR="00072A5D" w:rsidRDefault="00072A5D" w:rsidP="00072A5D">
      <w:pPr>
        <w:spacing w:line="360" w:lineRule="auto"/>
        <w:ind w:firstLine="708"/>
        <w:jc w:val="both"/>
        <w:rPr>
          <w:rFonts w:eastAsia="Verdana"/>
          <w:lang w:val="es-AR"/>
        </w:rPr>
      </w:pPr>
      <w:r w:rsidRPr="00072A5D">
        <w:rPr>
          <w:rFonts w:eastAsia="Verdana"/>
          <w:lang w:val="es-AR"/>
        </w:rPr>
        <w:t>Que las observaciones señaladas no importan, por sí solas, atribuir mala fe, pero comprometen la utilidad de la información para la toma de decisiones y para el control republicano, por lo que resulta necesario requerir al Departamento Ejecutivo las explicaciones y la documentación de respaldo correspondientes;</w:t>
      </w:r>
    </w:p>
    <w:p w14:paraId="5D676692" w14:textId="37EA8B3A" w:rsidR="000A3449" w:rsidRPr="00A3193B" w:rsidRDefault="00473C60" w:rsidP="005245A9">
      <w:pPr>
        <w:spacing w:line="360" w:lineRule="auto"/>
        <w:jc w:val="both"/>
        <w:rPr>
          <w:lang w:val="es-ES_tradnl"/>
        </w:rPr>
      </w:pPr>
      <w:r w:rsidRPr="00A3193B">
        <w:rPr>
          <w:rFonts w:eastAsia="Verdana"/>
          <w:lang w:val="es-AR"/>
        </w:rPr>
        <w:tab/>
      </w:r>
      <w:r w:rsidR="001E7BBB" w:rsidRPr="00A3193B">
        <w:rPr>
          <w:rFonts w:eastAsia="Verdana"/>
        </w:rPr>
        <w:t xml:space="preserve">Por ello, </w:t>
      </w:r>
      <w:r w:rsidR="002D7D73" w:rsidRPr="00A3193B">
        <w:rPr>
          <w:rFonts w:eastAsia="Verdana"/>
          <w:b/>
          <w:bCs/>
        </w:rPr>
        <w:t xml:space="preserve">los </w:t>
      </w:r>
      <w:r w:rsidR="00C33164" w:rsidRPr="00A3193B">
        <w:rPr>
          <w:rFonts w:eastAsia="Verdana"/>
          <w:b/>
          <w:bCs/>
        </w:rPr>
        <w:t>B</w:t>
      </w:r>
      <w:r w:rsidR="002D7D73" w:rsidRPr="00A3193B">
        <w:rPr>
          <w:rFonts w:eastAsia="Verdana"/>
          <w:b/>
          <w:bCs/>
        </w:rPr>
        <w:t>loques</w:t>
      </w:r>
      <w:r w:rsidR="001E7BBB" w:rsidRPr="00A3193B">
        <w:rPr>
          <w:rFonts w:eastAsia="Verdana"/>
          <w:b/>
          <w:bCs/>
        </w:rPr>
        <w:t xml:space="preserve"> </w:t>
      </w:r>
      <w:r w:rsidR="002E4449" w:rsidRPr="00A3193B">
        <w:rPr>
          <w:rFonts w:eastAsia="Verdana"/>
          <w:b/>
          <w:bCs/>
        </w:rPr>
        <w:t>POTENCIA</w:t>
      </w:r>
      <w:r w:rsidR="00C33164" w:rsidRPr="00A3193B">
        <w:rPr>
          <w:rFonts w:eastAsia="Verdana"/>
          <w:b/>
          <w:bCs/>
        </w:rPr>
        <w:t>,</w:t>
      </w:r>
      <w:r w:rsidR="00AE2300" w:rsidRPr="00A3193B">
        <w:rPr>
          <w:rFonts w:eastAsia="Verdana"/>
          <w:b/>
          <w:bCs/>
        </w:rPr>
        <w:t xml:space="preserve"> </w:t>
      </w:r>
      <w:r w:rsidR="00C33164" w:rsidRPr="00A3193B">
        <w:rPr>
          <w:rFonts w:eastAsia="Verdana"/>
          <w:b/>
          <w:bCs/>
        </w:rPr>
        <w:t xml:space="preserve">y GEN </w:t>
      </w:r>
      <w:r w:rsidR="001E7BBB" w:rsidRPr="00A3193B">
        <w:rPr>
          <w:rFonts w:eastAsia="Verdana"/>
        </w:rPr>
        <w:t>en atribución a sus facultades que le confiere la Ley Orgánica de las Municipalidades, propone</w:t>
      </w:r>
      <w:r w:rsidR="00631CFE" w:rsidRPr="00A3193B">
        <w:rPr>
          <w:rFonts w:eastAsia="Verdana"/>
        </w:rPr>
        <w:t>n</w:t>
      </w:r>
      <w:r w:rsidR="001E7BBB" w:rsidRPr="00A3193B">
        <w:rPr>
          <w:rFonts w:eastAsia="Verdana"/>
        </w:rPr>
        <w:t xml:space="preserve"> </w:t>
      </w:r>
      <w:r w:rsidR="009F536A" w:rsidRPr="00A3193B">
        <w:rPr>
          <w:rFonts w:eastAsia="Verdana"/>
        </w:rPr>
        <w:t>el</w:t>
      </w:r>
      <w:r w:rsidR="001E7BBB" w:rsidRPr="00A3193B">
        <w:rPr>
          <w:rFonts w:eastAsia="Verdana"/>
        </w:rPr>
        <w:t xml:space="preserve"> siguiente:</w:t>
      </w:r>
    </w:p>
    <w:p w14:paraId="62D6E08E" w14:textId="77777777" w:rsidR="00A53955" w:rsidRPr="00A3193B" w:rsidRDefault="00A53955" w:rsidP="005245A9">
      <w:pPr>
        <w:spacing w:line="360" w:lineRule="auto"/>
        <w:jc w:val="both"/>
        <w:rPr>
          <w:rFonts w:eastAsia="Verdana"/>
        </w:rPr>
      </w:pPr>
    </w:p>
    <w:p w14:paraId="6871888A" w14:textId="46F2F893" w:rsidR="00A3193B" w:rsidRPr="00A3193B" w:rsidRDefault="00A97D8A" w:rsidP="005245A9">
      <w:pPr>
        <w:spacing w:line="360" w:lineRule="auto"/>
        <w:jc w:val="center"/>
        <w:rPr>
          <w:b/>
          <w:bCs/>
          <w:u w:val="single"/>
        </w:rPr>
      </w:pPr>
      <w:r w:rsidRPr="00A3193B">
        <w:rPr>
          <w:b/>
          <w:bCs/>
          <w:u w:val="single"/>
        </w:rPr>
        <w:t xml:space="preserve">PROYECTO DE </w:t>
      </w:r>
      <w:r w:rsidR="00C33164" w:rsidRPr="00A3193B">
        <w:rPr>
          <w:b/>
          <w:bCs/>
          <w:u w:val="single"/>
        </w:rPr>
        <w:t>COMUNICACIÓN</w:t>
      </w:r>
      <w:r w:rsidRPr="00A3193B">
        <w:rPr>
          <w:b/>
          <w:bCs/>
          <w:u w:val="single"/>
        </w:rPr>
        <w:t>:</w:t>
      </w:r>
    </w:p>
    <w:p w14:paraId="089A8002" w14:textId="11CF2718" w:rsidR="005245A9" w:rsidRPr="005245A9" w:rsidRDefault="005245A9" w:rsidP="005245A9">
      <w:pPr>
        <w:pStyle w:val="isselectedend"/>
        <w:spacing w:line="360" w:lineRule="auto"/>
        <w:jc w:val="both"/>
        <w:rPr>
          <w:lang w:val="es-AR"/>
        </w:rPr>
      </w:pPr>
      <w:r w:rsidRPr="005245A9">
        <w:rPr>
          <w:rStyle w:val="Textoennegrita"/>
          <w:lang w:val="es-AR"/>
        </w:rPr>
        <w:t>ARTÍCULO 1°:</w:t>
      </w:r>
      <w:r w:rsidR="00072A5D" w:rsidRPr="00072A5D">
        <w:rPr>
          <w:lang w:val="es-AR"/>
        </w:rPr>
        <w:t xml:space="preserve"> Solicítase al Departamento Ejecutivo Municipal por intermedio de la Secretaría de Seguridad Ciudadana, indique respecto de cada gráfico y tabla contenidos en los informes mensuales y anuales del período 2022-2026, la fuente exacta de los datos (Estación de Policía Comunal, Ministerio Público Fiscal/Poder Judicial, Comisaría Primera, Comando de Patrulla Rural, Centro de Monitoreo o partes policiales) y la definición del universo que cada una mide.</w:t>
      </w:r>
      <w:r w:rsidR="00072A5D">
        <w:rPr>
          <w:lang w:val="es-AR"/>
        </w:rPr>
        <w:t>;</w:t>
      </w:r>
    </w:p>
    <w:p w14:paraId="2C2698E3" w14:textId="5AE42BD1" w:rsidR="005245A9" w:rsidRPr="005245A9" w:rsidRDefault="005245A9" w:rsidP="00072A5D">
      <w:pPr>
        <w:pStyle w:val="isselectedend"/>
        <w:spacing w:line="360" w:lineRule="auto"/>
        <w:jc w:val="both"/>
        <w:rPr>
          <w:lang w:val="es-AR"/>
        </w:rPr>
      </w:pPr>
      <w:r w:rsidRPr="005245A9">
        <w:rPr>
          <w:rStyle w:val="Textoennegrita"/>
          <w:lang w:val="es-AR"/>
        </w:rPr>
        <w:t>ARTÍCULO 2°:</w:t>
      </w:r>
      <w:r w:rsidR="00691ADD">
        <w:rPr>
          <w:lang w:val="es-AR"/>
        </w:rPr>
        <w:t xml:space="preserve"> </w:t>
      </w:r>
      <w:r w:rsidR="00072A5D" w:rsidRPr="00072A5D">
        <w:rPr>
          <w:lang w:val="es-AR"/>
        </w:rPr>
        <w:t>Requierase explique y concilie las tres cifras de delito total consignadas en los informes anuales 2024 y 2025 —“evolución del delito”, suma de la tabla por categoría y “denuncias mensuales recibidas”—, precisando qué mide cada una y por qué difieren, e indique por qué la suma de la tabla por categoría no coincide con el total graficado.</w:t>
      </w:r>
    </w:p>
    <w:p w14:paraId="5FC403A5" w14:textId="7142D559" w:rsidR="005245A9" w:rsidRPr="005245A9" w:rsidRDefault="005245A9" w:rsidP="005245A9">
      <w:pPr>
        <w:pStyle w:val="isselectedend"/>
        <w:spacing w:line="360" w:lineRule="auto"/>
        <w:jc w:val="both"/>
        <w:rPr>
          <w:lang w:val="es-AR"/>
        </w:rPr>
      </w:pPr>
      <w:r w:rsidRPr="005245A9">
        <w:rPr>
          <w:rStyle w:val="Textoennegrita"/>
          <w:lang w:val="es-AR"/>
        </w:rPr>
        <w:t>ARTÍCULO 3°:</w:t>
      </w:r>
      <w:r w:rsidR="00691ADD">
        <w:rPr>
          <w:lang w:val="es-AR"/>
        </w:rPr>
        <w:t xml:space="preserve"> </w:t>
      </w:r>
      <w:r w:rsidR="00072A5D" w:rsidRPr="00072A5D">
        <w:rPr>
          <w:lang w:val="es-AR"/>
        </w:rPr>
        <w:t>Requiere tambien informe la modificación de la serie histórica de robos y hurtos correspondiente a los años 2021, 2022 y 2023 entre los informes anuales 2022-2023 y 2024-2025, informe cuál es la serie que el Municipio considera válida y por qué, y acompañe la documentación que respalde la corrección.</w:t>
      </w:r>
    </w:p>
    <w:p w14:paraId="7DCCC035" w14:textId="612C3AC1" w:rsidR="005245A9" w:rsidRDefault="005245A9" w:rsidP="005245A9">
      <w:pPr>
        <w:pStyle w:val="NormalWeb"/>
        <w:spacing w:line="360" w:lineRule="auto"/>
        <w:jc w:val="both"/>
      </w:pPr>
      <w:r>
        <w:rPr>
          <w:rStyle w:val="Textoennegrita"/>
        </w:rPr>
        <w:lastRenderedPageBreak/>
        <w:t>ARTÍCULO 4°:</w:t>
      </w:r>
      <w:r>
        <w:t>.</w:t>
      </w:r>
      <w:r w:rsidR="00072A5D">
        <w:t>Solicite</w:t>
      </w:r>
      <w:r w:rsidR="00072A5D" w:rsidRPr="00072A5D">
        <w:t xml:space="preserve"> la reescritura de la fila “defraudación informática” y de las cifras de abigeato del Ministerio Público Fiscal entre los distintos informes anuales.</w:t>
      </w:r>
    </w:p>
    <w:p w14:paraId="263911EB" w14:textId="612800B4" w:rsidR="00A3193B" w:rsidRDefault="00691ADD" w:rsidP="005245A9">
      <w:pPr>
        <w:pStyle w:val="NormalWeb"/>
        <w:spacing w:line="360" w:lineRule="auto"/>
        <w:jc w:val="both"/>
      </w:pPr>
      <w:r>
        <w:rPr>
          <w:b/>
          <w:bCs/>
        </w:rPr>
        <w:t>ARTICULO 5°</w:t>
      </w:r>
      <w:r w:rsidR="00FD56C3">
        <w:t xml:space="preserve">: </w:t>
      </w:r>
      <w:r w:rsidR="00072A5D" w:rsidRPr="00072A5D">
        <w:t>Solicite también detalle los cambios de criterio de registro de denuncias de la Estación de Policía Comunal producidos hacia mediados de 2022 y en agosto de 2023, y el cambio de fuente (de Comisaría/EPC al Ministerio Público Fiscal) producido hacia septiembre-octubre de 2024, indicando las fechas exactas, los motivos y su impacto en la comparabilidad de las series.</w:t>
      </w:r>
    </w:p>
    <w:p w14:paraId="58C80B3D" w14:textId="7BC0EEDD" w:rsidR="00072A5D" w:rsidRDefault="00072A5D" w:rsidP="00072A5D">
      <w:pPr>
        <w:pStyle w:val="NormalWeb"/>
        <w:spacing w:line="360" w:lineRule="auto"/>
        <w:jc w:val="both"/>
      </w:pPr>
      <w:r>
        <w:rPr>
          <w:b/>
          <w:bCs/>
        </w:rPr>
        <w:t>ARTICULO 6</w:t>
      </w:r>
      <w:r w:rsidRPr="00072A5D">
        <w:rPr>
          <w:b/>
          <w:bCs/>
        </w:rPr>
        <w:t>°</w:t>
      </w:r>
      <w:r w:rsidRPr="00072A5D">
        <w:t>: Requiere concilie las denuncias del año 2024 —1.355 según el informe anual (EPC) frente a la serie “Poder Judicial” de los informes mensuales— e informe el total anual de denuncias según cada fuente para los años 2021 a 2025.</w:t>
      </w:r>
    </w:p>
    <w:p w14:paraId="119B0F1D" w14:textId="757C6BE6" w:rsidR="00072A5D" w:rsidRDefault="00072A5D" w:rsidP="00072A5D">
      <w:pPr>
        <w:pStyle w:val="NormalWeb"/>
        <w:spacing w:line="360" w:lineRule="auto"/>
        <w:jc w:val="both"/>
      </w:pPr>
      <w:r w:rsidRPr="00072A5D">
        <w:rPr>
          <w:b/>
        </w:rPr>
        <w:t>ARTICULO 7°:</w:t>
      </w:r>
      <w:r w:rsidRPr="00072A5D">
        <w:t xml:space="preserve"> </w:t>
      </w:r>
      <w:r>
        <w:t>Solicite explique la diferencia del mes de mayo de 2024 (110 denuncias según los informes mensuales de agosto, noviembre y diciembre de 2024, y 122 según el informe anual) e informe si existen otros meses cuyas cifras difieran entre los informes mensuales y los anuales.</w:t>
      </w:r>
    </w:p>
    <w:p w14:paraId="3398A187" w14:textId="3A798242" w:rsidR="00072A5D" w:rsidRDefault="00072A5D" w:rsidP="00072A5D">
      <w:pPr>
        <w:pStyle w:val="NormalWeb"/>
        <w:spacing w:line="360" w:lineRule="auto"/>
        <w:jc w:val="both"/>
      </w:pPr>
      <w:r w:rsidRPr="00072A5D">
        <w:rPr>
          <w:b/>
        </w:rPr>
        <w:t>ARTICULO 8°:</w:t>
      </w:r>
      <w:r>
        <w:t xml:space="preserve"> Requiérase explique el registro de cero suicidios durante todo el año 2024, y la divergencia entre los fallecidos en siniestros viales de 2025 (9) y los homicidios culposos de 2025 (5), precisando la fuente de cada dato.</w:t>
      </w:r>
    </w:p>
    <w:p w14:paraId="09C90F34" w14:textId="7967C1FE" w:rsidR="00072A5D" w:rsidRDefault="00072A5D" w:rsidP="00072A5D">
      <w:pPr>
        <w:pStyle w:val="NormalWeb"/>
        <w:spacing w:line="360" w:lineRule="auto"/>
        <w:jc w:val="both"/>
      </w:pPr>
      <w:r w:rsidRPr="00072A5D">
        <w:rPr>
          <w:b/>
        </w:rPr>
        <w:t>ARTICULO 9°:</w:t>
      </w:r>
      <w:r>
        <w:t xml:space="preserve">  Solicite aclare los errores de rotulado detectados en gráficos y tablas (entre ellos, el gráfico “Suicidios 2024-2025” que exhibe tres años, y la tabla rotulada “Evolución del delito 2022-2024” que contiene la serie 2014-2025), así como la doble cifra de población del Censo 2022 consignada en el Plan de Seguridad Integral (42.191 y 42.452).</w:t>
      </w:r>
    </w:p>
    <w:p w14:paraId="0158F065" w14:textId="49C0CFDE" w:rsidR="00072A5D" w:rsidRDefault="00072A5D" w:rsidP="00072A5D">
      <w:pPr>
        <w:pStyle w:val="NormalWeb"/>
        <w:spacing w:line="360" w:lineRule="auto"/>
        <w:jc w:val="both"/>
      </w:pPr>
      <w:r w:rsidRPr="00072A5D">
        <w:rPr>
          <w:b/>
        </w:rPr>
        <w:t>ARTICULO 10°:</w:t>
      </w:r>
      <w:r>
        <w:t xml:space="preserve"> Solicite al DE informe el estado de implementación del área especializada en información criminal y del “registro único” comprometidos en el Plan de Seguridad Integral 2025-2027, con indicación del cronograma previsto para garantizar registros homogéneos, consistentes y la conciliación de fuentes.</w:t>
      </w:r>
    </w:p>
    <w:p w14:paraId="4C0B1680" w14:textId="5B88E193" w:rsidR="00072A5D" w:rsidRDefault="00072A5D" w:rsidP="00072A5D">
      <w:pPr>
        <w:pStyle w:val="NormalWeb"/>
        <w:spacing w:line="360" w:lineRule="auto"/>
        <w:jc w:val="both"/>
      </w:pPr>
      <w:r w:rsidRPr="00072A5D">
        <w:rPr>
          <w:b/>
        </w:rPr>
        <w:lastRenderedPageBreak/>
        <w:t>ARTICULO</w:t>
      </w:r>
      <w:r>
        <w:rPr>
          <w:b/>
        </w:rPr>
        <w:t xml:space="preserve"> </w:t>
      </w:r>
      <w:r w:rsidRPr="00072A5D">
        <w:rPr>
          <w:b/>
        </w:rPr>
        <w:t>11°:</w:t>
      </w:r>
      <w:r>
        <w:t xml:space="preserve">  Requiérase remita las bases de datos y/o planillas fuente, en formato digital editable, que sustentan los informes estadísticos del período 2022-2026, a fin de permitir el control de las cifras por parte de este Cuerpo.</w:t>
      </w:r>
    </w:p>
    <w:p w14:paraId="6286E83B" w14:textId="6B5CF576" w:rsidR="00072A5D" w:rsidRDefault="00072A5D" w:rsidP="00072A5D">
      <w:pPr>
        <w:pStyle w:val="NormalWeb"/>
        <w:spacing w:line="360" w:lineRule="auto"/>
        <w:jc w:val="both"/>
      </w:pPr>
      <w:r w:rsidRPr="00072A5D">
        <w:rPr>
          <w:b/>
        </w:rPr>
        <w:t>ARTICULO 12°:</w:t>
      </w:r>
      <w:r>
        <w:t xml:space="preserve"> Solicitase indique el o los funcionarios responsables de la elaboración, carga y validación de los informes estadísticos de la Secretaría de Seguridad Ciudadana.</w:t>
      </w:r>
    </w:p>
    <w:p w14:paraId="5B1FC71A" w14:textId="10DDC27F" w:rsidR="00072A5D" w:rsidRPr="00072A5D" w:rsidRDefault="00072A5D" w:rsidP="00072A5D">
      <w:pPr>
        <w:pStyle w:val="NormalWeb"/>
        <w:spacing w:line="360" w:lineRule="auto"/>
        <w:jc w:val="both"/>
      </w:pPr>
      <w:r w:rsidRPr="00072A5D">
        <w:rPr>
          <w:b/>
        </w:rPr>
        <w:t>ARTICULO 13°:</w:t>
      </w:r>
      <w:r>
        <w:t xml:space="preserve"> De forma.-</w:t>
      </w:r>
    </w:p>
    <w:p w14:paraId="7863433E" w14:textId="77777777" w:rsidR="00C1218D" w:rsidRPr="00A3193B" w:rsidRDefault="00C1218D" w:rsidP="005245A9">
      <w:pPr>
        <w:spacing w:line="360" w:lineRule="auto"/>
        <w:ind w:firstLine="708"/>
        <w:jc w:val="both"/>
      </w:pPr>
    </w:p>
    <w:sectPr w:rsidR="00C1218D" w:rsidRPr="00A3193B"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036F1" w14:textId="77777777" w:rsidR="00495D00" w:rsidRDefault="00495D00">
      <w:r>
        <w:separator/>
      </w:r>
    </w:p>
  </w:endnote>
  <w:endnote w:type="continuationSeparator" w:id="0">
    <w:p w14:paraId="52B26B52" w14:textId="77777777" w:rsidR="00495D00" w:rsidRDefault="0049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495D00">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7662A34C"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F36CEF">
          <w:rPr>
            <w:noProof/>
          </w:rPr>
          <w:t>2</w:t>
        </w:r>
        <w:r>
          <w:rPr>
            <w:noProof/>
          </w:rPr>
          <w:fldChar w:fldCharType="end"/>
        </w:r>
      </w:p>
    </w:sdtContent>
  </w:sdt>
  <w:p w14:paraId="248C0290" w14:textId="77777777" w:rsidR="00B111D8" w:rsidRDefault="00495D00">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BD97A" w14:textId="77777777" w:rsidR="00495D00" w:rsidRDefault="00495D00">
      <w:r>
        <w:separator/>
      </w:r>
    </w:p>
  </w:footnote>
  <w:footnote w:type="continuationSeparator" w:id="0">
    <w:p w14:paraId="40D1B07A" w14:textId="77777777" w:rsidR="00495D00" w:rsidRDefault="00495D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495D0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3" name="Imagen 3"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46EAFFF6" w:rsidR="00647273" w:rsidRDefault="00922CA0" w:rsidP="00647273">
    <w:pPr>
      <w:jc w:val="center"/>
      <w:rPr>
        <w:b/>
        <w:bCs/>
        <w:color w:val="000000"/>
        <w:sz w:val="22"/>
        <w:szCs w:val="22"/>
      </w:rPr>
    </w:pPr>
    <w:r>
      <w:rPr>
        <w:b/>
        <w:bCs/>
        <w:color w:val="000000"/>
        <w:sz w:val="22"/>
        <w:szCs w:val="22"/>
      </w:rPr>
      <w:t>Mitre 38</w:t>
    </w:r>
    <w:r w:rsidR="00647273" w:rsidRPr="00B86158">
      <w:rPr>
        <w:b/>
        <w:bCs/>
        <w:color w:val="000000"/>
        <w:sz w:val="22"/>
        <w:szCs w:val="22"/>
      </w:rPr>
      <w:t xml:space="preserve">   -    Chascomús</w:t>
    </w:r>
  </w:p>
  <w:p w14:paraId="0109F28F" w14:textId="701B9C9F" w:rsidR="00647273" w:rsidRPr="00B86158" w:rsidRDefault="00647273" w:rsidP="00647273">
    <w:pPr>
      <w:jc w:val="center"/>
      <w:rPr>
        <w:b/>
        <w:bCs/>
        <w:color w:val="000000"/>
        <w:sz w:val="22"/>
        <w:szCs w:val="22"/>
      </w:rPr>
    </w:pPr>
    <w:r>
      <w:rPr>
        <w:b/>
        <w:bCs/>
        <w:color w:val="000000"/>
        <w:sz w:val="22"/>
        <w:szCs w:val="22"/>
      </w:rPr>
      <w:t>Bloque</w:t>
    </w:r>
    <w:r w:rsidR="00724ED7">
      <w:rPr>
        <w:b/>
        <w:bCs/>
        <w:color w:val="000000"/>
        <w:sz w:val="22"/>
        <w:szCs w:val="22"/>
      </w:rPr>
      <w:t>s</w:t>
    </w:r>
    <w:r>
      <w:rPr>
        <w:b/>
        <w:bCs/>
        <w:color w:val="000000"/>
        <w:sz w:val="22"/>
        <w:szCs w:val="22"/>
      </w:rPr>
      <w:t xml:space="preserve"> </w:t>
    </w:r>
    <w:r w:rsidR="00724ED7">
      <w:rPr>
        <w:b/>
        <w:bCs/>
        <w:color w:val="000000"/>
        <w:sz w:val="22"/>
        <w:szCs w:val="22"/>
      </w:rPr>
      <w:t>Potencia y</w:t>
    </w:r>
    <w:r w:rsidR="00FC2C9E">
      <w:rPr>
        <w:b/>
        <w:bCs/>
        <w:color w:val="000000"/>
        <w:sz w:val="22"/>
        <w:szCs w:val="22"/>
      </w:rPr>
      <w:t xml:space="preserve"> GEN</w:t>
    </w:r>
  </w:p>
  <w:p w14:paraId="1A9645E5" w14:textId="0DE4F21E" w:rsidR="00896B63" w:rsidRPr="001A1A2B" w:rsidRDefault="00896B63" w:rsidP="00896B63">
    <w:pPr>
      <w:jc w:val="center"/>
      <w:rPr>
        <w:b/>
        <w:sz w:val="20"/>
        <w:szCs w:val="20"/>
      </w:rPr>
    </w:pPr>
    <w:r w:rsidRPr="001A1A2B">
      <w:rPr>
        <w:b/>
        <w:sz w:val="20"/>
        <w:szCs w:val="20"/>
      </w:rPr>
      <w:t>“202</w:t>
    </w:r>
    <w:r w:rsidR="00DA3769">
      <w:rPr>
        <w:b/>
        <w:sz w:val="20"/>
        <w:szCs w:val="20"/>
      </w:rPr>
      <w:t>6</w:t>
    </w:r>
    <w:r w:rsidRPr="001A1A2B">
      <w:rPr>
        <w:b/>
        <w:sz w:val="20"/>
        <w:szCs w:val="20"/>
      </w:rPr>
      <w:t>:</w:t>
    </w:r>
    <w:r w:rsidR="001E4392">
      <w:rPr>
        <w:b/>
        <w:sz w:val="20"/>
        <w:szCs w:val="20"/>
      </w:rPr>
      <w:t xml:space="preserve"> Año del 200° Aniversario de la Escuela Primaria N° 1 Bernardino Rivadavia”</w:t>
    </w:r>
    <w:r>
      <w:rPr>
        <w:b/>
        <w:sz w:val="20"/>
        <w:szCs w:val="20"/>
      </w:rPr>
      <w:t xml:space="preserve"> </w:t>
    </w:r>
  </w:p>
  <w:p w14:paraId="7D1287BB" w14:textId="77777777" w:rsidR="00B111D8" w:rsidRDefault="00495D00">
    <w:pPr>
      <w:jc w:val="center"/>
      <w:rPr>
        <w:b/>
        <w:sz w:val="22"/>
        <w:szCs w:val="22"/>
      </w:rPr>
    </w:pPr>
  </w:p>
  <w:p w14:paraId="4AEE11A9" w14:textId="77777777" w:rsidR="00B111D8" w:rsidRDefault="00495D00">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03927FF"/>
    <w:multiLevelType w:val="hybridMultilevel"/>
    <w:tmpl w:val="59987A16"/>
    <w:lvl w:ilvl="0" w:tplc="18EC5C6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7"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2CC2D4B"/>
    <w:multiLevelType w:val="multilevel"/>
    <w:tmpl w:val="BA42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765B4A87"/>
    <w:multiLevelType w:val="multilevel"/>
    <w:tmpl w:val="BC20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9"/>
  </w:num>
  <w:num w:numId="2">
    <w:abstractNumId w:val="1"/>
  </w:num>
  <w:num w:numId="3">
    <w:abstractNumId w:val="3"/>
  </w:num>
  <w:num w:numId="4">
    <w:abstractNumId w:val="5"/>
  </w:num>
  <w:num w:numId="5">
    <w:abstractNumId w:val="14"/>
  </w:num>
  <w:num w:numId="6">
    <w:abstractNumId w:val="6"/>
  </w:num>
  <w:num w:numId="7">
    <w:abstractNumId w:val="0"/>
  </w:num>
  <w:num w:numId="8">
    <w:abstractNumId w:val="2"/>
  </w:num>
  <w:num w:numId="9">
    <w:abstractNumId w:val="16"/>
  </w:num>
  <w:num w:numId="10">
    <w:abstractNumId w:val="15"/>
  </w:num>
  <w:num w:numId="11">
    <w:abstractNumId w:val="12"/>
  </w:num>
  <w:num w:numId="12">
    <w:abstractNumId w:val="10"/>
  </w:num>
  <w:num w:numId="13">
    <w:abstractNumId w:val="7"/>
  </w:num>
  <w:num w:numId="14">
    <w:abstractNumId w:val="8"/>
  </w:num>
  <w:num w:numId="15">
    <w:abstractNumId w:val="17"/>
  </w:num>
  <w:num w:numId="16">
    <w:abstractNumId w:val="19"/>
  </w:num>
  <w:num w:numId="17">
    <w:abstractNumId w:val="13"/>
  </w:num>
  <w:num w:numId="18">
    <w:abstractNumId w:val="4"/>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3D5E"/>
    <w:rsid w:val="00005397"/>
    <w:rsid w:val="00011B9F"/>
    <w:rsid w:val="00020439"/>
    <w:rsid w:val="000254BE"/>
    <w:rsid w:val="00033CEC"/>
    <w:rsid w:val="00044688"/>
    <w:rsid w:val="0005181D"/>
    <w:rsid w:val="00063FF5"/>
    <w:rsid w:val="00072A5D"/>
    <w:rsid w:val="00081067"/>
    <w:rsid w:val="00082B90"/>
    <w:rsid w:val="000A0C32"/>
    <w:rsid w:val="000A1AEC"/>
    <w:rsid w:val="000A3449"/>
    <w:rsid w:val="000A6FE8"/>
    <w:rsid w:val="000B3937"/>
    <w:rsid w:val="000B5775"/>
    <w:rsid w:val="000C111A"/>
    <w:rsid w:val="000C1216"/>
    <w:rsid w:val="000D53E5"/>
    <w:rsid w:val="000E3F62"/>
    <w:rsid w:val="000E7D56"/>
    <w:rsid w:val="000F529E"/>
    <w:rsid w:val="001006A1"/>
    <w:rsid w:val="001037B8"/>
    <w:rsid w:val="00120ACF"/>
    <w:rsid w:val="00120BAE"/>
    <w:rsid w:val="0012148C"/>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298A"/>
    <w:rsid w:val="0018576F"/>
    <w:rsid w:val="0019029C"/>
    <w:rsid w:val="0019050C"/>
    <w:rsid w:val="001A7920"/>
    <w:rsid w:val="001B08AA"/>
    <w:rsid w:val="001C0066"/>
    <w:rsid w:val="001E1197"/>
    <w:rsid w:val="001E4392"/>
    <w:rsid w:val="001E585B"/>
    <w:rsid w:val="001E7A7D"/>
    <w:rsid w:val="001E7BBB"/>
    <w:rsid w:val="00206027"/>
    <w:rsid w:val="00207886"/>
    <w:rsid w:val="00207CDC"/>
    <w:rsid w:val="0022355B"/>
    <w:rsid w:val="0023599A"/>
    <w:rsid w:val="002367EC"/>
    <w:rsid w:val="002541DA"/>
    <w:rsid w:val="0026764E"/>
    <w:rsid w:val="002813A3"/>
    <w:rsid w:val="00292E58"/>
    <w:rsid w:val="002A0747"/>
    <w:rsid w:val="002A2BC9"/>
    <w:rsid w:val="002A500C"/>
    <w:rsid w:val="002B5A06"/>
    <w:rsid w:val="002C0A4C"/>
    <w:rsid w:val="002C57C6"/>
    <w:rsid w:val="002C6A6D"/>
    <w:rsid w:val="002D423A"/>
    <w:rsid w:val="002D7D73"/>
    <w:rsid w:val="002E202E"/>
    <w:rsid w:val="002E4449"/>
    <w:rsid w:val="002F0529"/>
    <w:rsid w:val="00317017"/>
    <w:rsid w:val="00341829"/>
    <w:rsid w:val="00345903"/>
    <w:rsid w:val="0035318A"/>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D46BC"/>
    <w:rsid w:val="003D4F5E"/>
    <w:rsid w:val="003D509E"/>
    <w:rsid w:val="003D60B2"/>
    <w:rsid w:val="003E0F6A"/>
    <w:rsid w:val="003E24C6"/>
    <w:rsid w:val="003E681E"/>
    <w:rsid w:val="003F3250"/>
    <w:rsid w:val="003F67FC"/>
    <w:rsid w:val="0040069C"/>
    <w:rsid w:val="004112E7"/>
    <w:rsid w:val="0042042D"/>
    <w:rsid w:val="004263DF"/>
    <w:rsid w:val="004271CD"/>
    <w:rsid w:val="004377F2"/>
    <w:rsid w:val="00452482"/>
    <w:rsid w:val="004535A7"/>
    <w:rsid w:val="0045465A"/>
    <w:rsid w:val="00473C60"/>
    <w:rsid w:val="004819E3"/>
    <w:rsid w:val="00495D00"/>
    <w:rsid w:val="00497015"/>
    <w:rsid w:val="004A1D96"/>
    <w:rsid w:val="004A526D"/>
    <w:rsid w:val="004C3F7E"/>
    <w:rsid w:val="004C4225"/>
    <w:rsid w:val="004C7363"/>
    <w:rsid w:val="004D3AD3"/>
    <w:rsid w:val="004F2E08"/>
    <w:rsid w:val="004F30A0"/>
    <w:rsid w:val="004F77D0"/>
    <w:rsid w:val="004F7805"/>
    <w:rsid w:val="0052078C"/>
    <w:rsid w:val="00522CF0"/>
    <w:rsid w:val="005245A9"/>
    <w:rsid w:val="005265C7"/>
    <w:rsid w:val="00555D6B"/>
    <w:rsid w:val="005637D8"/>
    <w:rsid w:val="00566DE6"/>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65D5"/>
    <w:rsid w:val="006234A0"/>
    <w:rsid w:val="006251A5"/>
    <w:rsid w:val="00630275"/>
    <w:rsid w:val="00631CFE"/>
    <w:rsid w:val="0063337C"/>
    <w:rsid w:val="006407F3"/>
    <w:rsid w:val="00647273"/>
    <w:rsid w:val="006538E9"/>
    <w:rsid w:val="00653904"/>
    <w:rsid w:val="00655590"/>
    <w:rsid w:val="00657A44"/>
    <w:rsid w:val="00667D5A"/>
    <w:rsid w:val="006768E9"/>
    <w:rsid w:val="00677CD1"/>
    <w:rsid w:val="00690A95"/>
    <w:rsid w:val="00691710"/>
    <w:rsid w:val="00691ADD"/>
    <w:rsid w:val="00696BA7"/>
    <w:rsid w:val="006A2EB8"/>
    <w:rsid w:val="006A3CDA"/>
    <w:rsid w:val="006B126A"/>
    <w:rsid w:val="006B384C"/>
    <w:rsid w:val="006B47B6"/>
    <w:rsid w:val="006C01E1"/>
    <w:rsid w:val="006D0010"/>
    <w:rsid w:val="006D13C7"/>
    <w:rsid w:val="006D4A9E"/>
    <w:rsid w:val="006E5C03"/>
    <w:rsid w:val="006E6908"/>
    <w:rsid w:val="006F13AD"/>
    <w:rsid w:val="006F3811"/>
    <w:rsid w:val="006F6712"/>
    <w:rsid w:val="00720A74"/>
    <w:rsid w:val="007235A7"/>
    <w:rsid w:val="007241B9"/>
    <w:rsid w:val="00724ED7"/>
    <w:rsid w:val="0072570F"/>
    <w:rsid w:val="00734D64"/>
    <w:rsid w:val="00742760"/>
    <w:rsid w:val="0075096F"/>
    <w:rsid w:val="00754214"/>
    <w:rsid w:val="0075760E"/>
    <w:rsid w:val="007577DA"/>
    <w:rsid w:val="007746A0"/>
    <w:rsid w:val="00783F88"/>
    <w:rsid w:val="0079484E"/>
    <w:rsid w:val="007A3074"/>
    <w:rsid w:val="007A41DE"/>
    <w:rsid w:val="007A7DBD"/>
    <w:rsid w:val="007B1E56"/>
    <w:rsid w:val="007B6142"/>
    <w:rsid w:val="007C186E"/>
    <w:rsid w:val="007C1A3F"/>
    <w:rsid w:val="007C237E"/>
    <w:rsid w:val="007D57D5"/>
    <w:rsid w:val="007E1F1A"/>
    <w:rsid w:val="007F166C"/>
    <w:rsid w:val="007F26D8"/>
    <w:rsid w:val="007F2AF5"/>
    <w:rsid w:val="007F7D0A"/>
    <w:rsid w:val="00802889"/>
    <w:rsid w:val="0080380C"/>
    <w:rsid w:val="00815414"/>
    <w:rsid w:val="00822EBA"/>
    <w:rsid w:val="00824D06"/>
    <w:rsid w:val="00830E54"/>
    <w:rsid w:val="00833F05"/>
    <w:rsid w:val="00845C01"/>
    <w:rsid w:val="00860091"/>
    <w:rsid w:val="00864105"/>
    <w:rsid w:val="00867AB4"/>
    <w:rsid w:val="00872343"/>
    <w:rsid w:val="008728EB"/>
    <w:rsid w:val="008940D0"/>
    <w:rsid w:val="00894ABD"/>
    <w:rsid w:val="00895FA2"/>
    <w:rsid w:val="00896B63"/>
    <w:rsid w:val="008A2AD2"/>
    <w:rsid w:val="008A4688"/>
    <w:rsid w:val="008A5881"/>
    <w:rsid w:val="008B39E0"/>
    <w:rsid w:val="008B661C"/>
    <w:rsid w:val="008C7F3D"/>
    <w:rsid w:val="008D287F"/>
    <w:rsid w:val="008D55AC"/>
    <w:rsid w:val="008D6955"/>
    <w:rsid w:val="008E65DB"/>
    <w:rsid w:val="008F0DBE"/>
    <w:rsid w:val="009151CB"/>
    <w:rsid w:val="00920820"/>
    <w:rsid w:val="00922CA0"/>
    <w:rsid w:val="0092379A"/>
    <w:rsid w:val="00924657"/>
    <w:rsid w:val="00933570"/>
    <w:rsid w:val="00935F7F"/>
    <w:rsid w:val="00943FD3"/>
    <w:rsid w:val="009572F2"/>
    <w:rsid w:val="009627FD"/>
    <w:rsid w:val="009703AE"/>
    <w:rsid w:val="00983A2A"/>
    <w:rsid w:val="00993B0D"/>
    <w:rsid w:val="009A170F"/>
    <w:rsid w:val="009A6A1C"/>
    <w:rsid w:val="009B08E7"/>
    <w:rsid w:val="009B163B"/>
    <w:rsid w:val="009B34D6"/>
    <w:rsid w:val="009C2230"/>
    <w:rsid w:val="009C328D"/>
    <w:rsid w:val="009C6330"/>
    <w:rsid w:val="009C7B23"/>
    <w:rsid w:val="009E1C5A"/>
    <w:rsid w:val="009F04A4"/>
    <w:rsid w:val="009F536A"/>
    <w:rsid w:val="009F6886"/>
    <w:rsid w:val="00A11CF5"/>
    <w:rsid w:val="00A11D4D"/>
    <w:rsid w:val="00A161B7"/>
    <w:rsid w:val="00A26F57"/>
    <w:rsid w:val="00A2701B"/>
    <w:rsid w:val="00A3193B"/>
    <w:rsid w:val="00A34AB1"/>
    <w:rsid w:val="00A53955"/>
    <w:rsid w:val="00A6329A"/>
    <w:rsid w:val="00A648BF"/>
    <w:rsid w:val="00A742CB"/>
    <w:rsid w:val="00A95ECE"/>
    <w:rsid w:val="00A97D8A"/>
    <w:rsid w:val="00AA75AF"/>
    <w:rsid w:val="00AB0F7B"/>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33164"/>
    <w:rsid w:val="00C470EB"/>
    <w:rsid w:val="00C53FBD"/>
    <w:rsid w:val="00C84D7A"/>
    <w:rsid w:val="00C95D59"/>
    <w:rsid w:val="00C96DD1"/>
    <w:rsid w:val="00CA3296"/>
    <w:rsid w:val="00CB469A"/>
    <w:rsid w:val="00CC28EA"/>
    <w:rsid w:val="00CC5E7A"/>
    <w:rsid w:val="00CD287A"/>
    <w:rsid w:val="00CE5EF5"/>
    <w:rsid w:val="00CE66F8"/>
    <w:rsid w:val="00CF0991"/>
    <w:rsid w:val="00CF494F"/>
    <w:rsid w:val="00D0740E"/>
    <w:rsid w:val="00D218A8"/>
    <w:rsid w:val="00D258A9"/>
    <w:rsid w:val="00D30D5D"/>
    <w:rsid w:val="00D34F71"/>
    <w:rsid w:val="00D365CA"/>
    <w:rsid w:val="00D41969"/>
    <w:rsid w:val="00D512B9"/>
    <w:rsid w:val="00D51A35"/>
    <w:rsid w:val="00D520BF"/>
    <w:rsid w:val="00D61364"/>
    <w:rsid w:val="00D666E5"/>
    <w:rsid w:val="00D81BFD"/>
    <w:rsid w:val="00D86A3B"/>
    <w:rsid w:val="00DA1489"/>
    <w:rsid w:val="00DA351A"/>
    <w:rsid w:val="00DA3769"/>
    <w:rsid w:val="00DB4CCC"/>
    <w:rsid w:val="00DD0D2F"/>
    <w:rsid w:val="00DD5349"/>
    <w:rsid w:val="00DD7680"/>
    <w:rsid w:val="00DF011C"/>
    <w:rsid w:val="00DF09DB"/>
    <w:rsid w:val="00E02506"/>
    <w:rsid w:val="00E029AF"/>
    <w:rsid w:val="00E1609C"/>
    <w:rsid w:val="00E3228D"/>
    <w:rsid w:val="00E3228F"/>
    <w:rsid w:val="00E40B76"/>
    <w:rsid w:val="00E42137"/>
    <w:rsid w:val="00E45641"/>
    <w:rsid w:val="00E553BE"/>
    <w:rsid w:val="00E61348"/>
    <w:rsid w:val="00E7387D"/>
    <w:rsid w:val="00E80DAE"/>
    <w:rsid w:val="00E865DC"/>
    <w:rsid w:val="00E92DEB"/>
    <w:rsid w:val="00E93B79"/>
    <w:rsid w:val="00E972EC"/>
    <w:rsid w:val="00EA04FC"/>
    <w:rsid w:val="00EA1253"/>
    <w:rsid w:val="00EA27AC"/>
    <w:rsid w:val="00EA5F46"/>
    <w:rsid w:val="00EA788B"/>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36CEF"/>
    <w:rsid w:val="00F44F91"/>
    <w:rsid w:val="00F469B8"/>
    <w:rsid w:val="00F47E4E"/>
    <w:rsid w:val="00F555F6"/>
    <w:rsid w:val="00F56BB6"/>
    <w:rsid w:val="00F6593F"/>
    <w:rsid w:val="00F849CD"/>
    <w:rsid w:val="00F90AC7"/>
    <w:rsid w:val="00F913DC"/>
    <w:rsid w:val="00F94DD3"/>
    <w:rsid w:val="00FA5093"/>
    <w:rsid w:val="00FA6BA9"/>
    <w:rsid w:val="00FC2C9E"/>
    <w:rsid w:val="00FC2DED"/>
    <w:rsid w:val="00FC6A8A"/>
    <w:rsid w:val="00FC7B10"/>
    <w:rsid w:val="00FD56C3"/>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 w:type="character" w:styleId="nfasis">
    <w:name w:val="Emphasis"/>
    <w:basedOn w:val="Fuentedeprrafopredeter"/>
    <w:uiPriority w:val="20"/>
    <w:qFormat/>
    <w:rsid w:val="00003D5E"/>
    <w:rPr>
      <w:i/>
      <w:iCs/>
    </w:rPr>
  </w:style>
  <w:style w:type="paragraph" w:customStyle="1" w:styleId="isselectedend">
    <w:name w:val="isselectedend"/>
    <w:basedOn w:val="Normal"/>
    <w:rsid w:val="005245A9"/>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61413689">
      <w:bodyDiv w:val="1"/>
      <w:marLeft w:val="0"/>
      <w:marRight w:val="0"/>
      <w:marTop w:val="0"/>
      <w:marBottom w:val="0"/>
      <w:divBdr>
        <w:top w:val="none" w:sz="0" w:space="0" w:color="auto"/>
        <w:left w:val="none" w:sz="0" w:space="0" w:color="auto"/>
        <w:bottom w:val="none" w:sz="0" w:space="0" w:color="auto"/>
        <w:right w:val="none" w:sz="0" w:space="0" w:color="auto"/>
      </w:divBdr>
    </w:div>
    <w:div w:id="210580268">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13700790">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783689073">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33211845">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31374264">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38183037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531336869">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1803620543">
      <w:bodyDiv w:val="1"/>
      <w:marLeft w:val="0"/>
      <w:marRight w:val="0"/>
      <w:marTop w:val="0"/>
      <w:marBottom w:val="0"/>
      <w:divBdr>
        <w:top w:val="none" w:sz="0" w:space="0" w:color="auto"/>
        <w:left w:val="none" w:sz="0" w:space="0" w:color="auto"/>
        <w:bottom w:val="none" w:sz="0" w:space="0" w:color="auto"/>
        <w:right w:val="none" w:sz="0" w:space="0" w:color="auto"/>
      </w:divBdr>
    </w:div>
    <w:div w:id="1851487876">
      <w:bodyDiv w:val="1"/>
      <w:marLeft w:val="0"/>
      <w:marRight w:val="0"/>
      <w:marTop w:val="0"/>
      <w:marBottom w:val="0"/>
      <w:divBdr>
        <w:top w:val="none" w:sz="0" w:space="0" w:color="auto"/>
        <w:left w:val="none" w:sz="0" w:space="0" w:color="auto"/>
        <w:bottom w:val="none" w:sz="0" w:space="0" w:color="auto"/>
        <w:right w:val="none" w:sz="0" w:space="0" w:color="auto"/>
      </w:divBdr>
    </w:div>
    <w:div w:id="1974864072">
      <w:bodyDiv w:val="1"/>
      <w:marLeft w:val="0"/>
      <w:marRight w:val="0"/>
      <w:marTop w:val="0"/>
      <w:marBottom w:val="0"/>
      <w:divBdr>
        <w:top w:val="none" w:sz="0" w:space="0" w:color="auto"/>
        <w:left w:val="none" w:sz="0" w:space="0" w:color="auto"/>
        <w:bottom w:val="none" w:sz="0" w:space="0" w:color="auto"/>
        <w:right w:val="none" w:sz="0" w:space="0" w:color="auto"/>
      </w:divBdr>
    </w:div>
    <w:div w:id="1974870536">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1266</Words>
  <Characters>7220</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2026-04-21T14:57:00Z</cp:lastPrinted>
  <dcterms:created xsi:type="dcterms:W3CDTF">2026-06-09T18:23:00Z</dcterms:created>
  <dcterms:modified xsi:type="dcterms:W3CDTF">2026-06-09T18:23:00Z</dcterms:modified>
</cp:coreProperties>
</file>