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77349" w14:textId="6F96E2D8" w:rsidR="00A97D8A" w:rsidRPr="00AC0130" w:rsidRDefault="00A97D8A" w:rsidP="00AC0130">
      <w:pPr>
        <w:spacing w:line="360" w:lineRule="auto"/>
        <w:jc w:val="right"/>
        <w:rPr>
          <w:sz w:val="22"/>
          <w:szCs w:val="22"/>
        </w:rPr>
      </w:pPr>
      <w:r w:rsidRPr="00AC0130">
        <w:rPr>
          <w:sz w:val="22"/>
          <w:szCs w:val="22"/>
        </w:rPr>
        <w:t xml:space="preserve">                                                            Chascomús, </w:t>
      </w:r>
      <w:r w:rsidR="00CD04AC" w:rsidRPr="00AC0130">
        <w:rPr>
          <w:sz w:val="22"/>
          <w:szCs w:val="22"/>
        </w:rPr>
        <w:t>23</w:t>
      </w:r>
      <w:r w:rsidR="00173A72" w:rsidRPr="00AC0130">
        <w:rPr>
          <w:sz w:val="22"/>
          <w:szCs w:val="22"/>
        </w:rPr>
        <w:t xml:space="preserve"> de </w:t>
      </w:r>
      <w:r w:rsidR="00466B30" w:rsidRPr="00AC0130">
        <w:rPr>
          <w:sz w:val="22"/>
          <w:szCs w:val="22"/>
        </w:rPr>
        <w:t xml:space="preserve">junio </w:t>
      </w:r>
      <w:r w:rsidRPr="00AC0130">
        <w:rPr>
          <w:sz w:val="22"/>
          <w:szCs w:val="22"/>
        </w:rPr>
        <w:t>de 202</w:t>
      </w:r>
      <w:r w:rsidR="00173A72" w:rsidRPr="00AC0130">
        <w:rPr>
          <w:sz w:val="22"/>
          <w:szCs w:val="22"/>
        </w:rPr>
        <w:t>6</w:t>
      </w:r>
      <w:r w:rsidRPr="00AC0130">
        <w:rPr>
          <w:sz w:val="22"/>
          <w:szCs w:val="22"/>
        </w:rPr>
        <w:t>.</w:t>
      </w:r>
    </w:p>
    <w:p w14:paraId="699EB5C6" w14:textId="59FDA5CC" w:rsidR="00A97D8A" w:rsidRPr="00AC0130" w:rsidRDefault="00A97D8A" w:rsidP="00AC0130">
      <w:pPr>
        <w:spacing w:line="360" w:lineRule="auto"/>
        <w:jc w:val="both"/>
        <w:rPr>
          <w:b/>
          <w:bCs/>
          <w:sz w:val="22"/>
          <w:szCs w:val="22"/>
        </w:rPr>
      </w:pPr>
      <w:r w:rsidRPr="00AC0130">
        <w:rPr>
          <w:b/>
          <w:bCs/>
          <w:sz w:val="22"/>
          <w:szCs w:val="22"/>
        </w:rPr>
        <w:t>Sr</w:t>
      </w:r>
      <w:r w:rsidR="00173A72" w:rsidRPr="00AC0130">
        <w:rPr>
          <w:b/>
          <w:bCs/>
          <w:sz w:val="22"/>
          <w:szCs w:val="22"/>
        </w:rPr>
        <w:t>a</w:t>
      </w:r>
      <w:r w:rsidRPr="00AC0130">
        <w:rPr>
          <w:b/>
          <w:bCs/>
          <w:sz w:val="22"/>
          <w:szCs w:val="22"/>
        </w:rPr>
        <w:t xml:space="preserve">. </w:t>
      </w:r>
      <w:r w:rsidR="00F1736D">
        <w:rPr>
          <w:b/>
          <w:bCs/>
          <w:sz w:val="22"/>
          <w:szCs w:val="22"/>
        </w:rPr>
        <w:t>P</w:t>
      </w:r>
      <w:r w:rsidR="00F1736D" w:rsidRPr="00AC0130">
        <w:rPr>
          <w:b/>
          <w:bCs/>
          <w:sz w:val="22"/>
          <w:szCs w:val="22"/>
        </w:rPr>
        <w:t>residente</w:t>
      </w:r>
      <w:r w:rsidRPr="00AC0130">
        <w:rPr>
          <w:b/>
          <w:bCs/>
          <w:sz w:val="22"/>
          <w:szCs w:val="22"/>
        </w:rPr>
        <w:t xml:space="preserve"> del</w:t>
      </w:r>
    </w:p>
    <w:p w14:paraId="08B0493F" w14:textId="77777777" w:rsidR="00A97D8A" w:rsidRPr="00AC0130" w:rsidRDefault="00A97D8A" w:rsidP="00AC0130">
      <w:pPr>
        <w:spacing w:line="360" w:lineRule="auto"/>
        <w:jc w:val="both"/>
        <w:rPr>
          <w:b/>
          <w:bCs/>
          <w:sz w:val="22"/>
          <w:szCs w:val="22"/>
        </w:rPr>
      </w:pPr>
      <w:r w:rsidRPr="00AC0130">
        <w:rPr>
          <w:b/>
          <w:bCs/>
          <w:sz w:val="22"/>
          <w:szCs w:val="22"/>
        </w:rPr>
        <w:t>Honorable Concejo Deliberante</w:t>
      </w:r>
    </w:p>
    <w:p w14:paraId="4F711FE6" w14:textId="77777777" w:rsidR="00CE6F21" w:rsidRPr="00AC0130" w:rsidRDefault="00CE6F21" w:rsidP="00AC0130">
      <w:pPr>
        <w:spacing w:line="360" w:lineRule="auto"/>
        <w:jc w:val="both"/>
        <w:rPr>
          <w:b/>
          <w:bCs/>
          <w:sz w:val="22"/>
          <w:szCs w:val="22"/>
        </w:rPr>
      </w:pPr>
      <w:r w:rsidRPr="00AC0130">
        <w:rPr>
          <w:b/>
          <w:bCs/>
          <w:sz w:val="22"/>
          <w:szCs w:val="22"/>
        </w:rPr>
        <w:t>OSCAR FREDDY TOLEDO BARZOLA</w:t>
      </w:r>
    </w:p>
    <w:p w14:paraId="298A34F1" w14:textId="38E3D0DA" w:rsidR="008B661C" w:rsidRPr="00AC0130" w:rsidRDefault="008B661C" w:rsidP="00AC0130">
      <w:pPr>
        <w:spacing w:line="360" w:lineRule="auto"/>
        <w:jc w:val="both"/>
        <w:rPr>
          <w:b/>
          <w:bCs/>
          <w:sz w:val="22"/>
          <w:szCs w:val="22"/>
          <w:u w:val="single"/>
        </w:rPr>
      </w:pPr>
      <w:r w:rsidRPr="00AC0130">
        <w:rPr>
          <w:b/>
          <w:bCs/>
          <w:sz w:val="22"/>
          <w:szCs w:val="22"/>
          <w:u w:val="single"/>
        </w:rPr>
        <w:t>S</w:t>
      </w:r>
      <w:r w:rsidR="00CE6F21" w:rsidRPr="00AC0130">
        <w:rPr>
          <w:b/>
          <w:bCs/>
          <w:sz w:val="22"/>
          <w:szCs w:val="22"/>
          <w:u w:val="single"/>
        </w:rPr>
        <w:t xml:space="preserve">          </w:t>
      </w:r>
      <w:r w:rsidRPr="00AC0130">
        <w:rPr>
          <w:b/>
          <w:bCs/>
          <w:sz w:val="22"/>
          <w:szCs w:val="22"/>
          <w:u w:val="single"/>
        </w:rPr>
        <w:t>/</w:t>
      </w:r>
      <w:r w:rsidR="00CE6F21" w:rsidRPr="00AC0130">
        <w:rPr>
          <w:b/>
          <w:bCs/>
          <w:sz w:val="22"/>
          <w:szCs w:val="22"/>
          <w:u w:val="single"/>
        </w:rPr>
        <w:t xml:space="preserve">           </w:t>
      </w:r>
      <w:r w:rsidRPr="00AC0130">
        <w:rPr>
          <w:b/>
          <w:bCs/>
          <w:sz w:val="22"/>
          <w:szCs w:val="22"/>
          <w:u w:val="single"/>
        </w:rPr>
        <w:t>D</w:t>
      </w:r>
    </w:p>
    <w:p w14:paraId="361DDC4A" w14:textId="77777777" w:rsidR="008B661C" w:rsidRPr="00AC0130" w:rsidRDefault="008B661C" w:rsidP="00AC0130">
      <w:pPr>
        <w:spacing w:line="360" w:lineRule="auto"/>
        <w:jc w:val="both"/>
        <w:rPr>
          <w:sz w:val="22"/>
          <w:szCs w:val="22"/>
        </w:rPr>
      </w:pPr>
    </w:p>
    <w:p w14:paraId="3298DB73" w14:textId="77777777" w:rsidR="00A97D8A" w:rsidRPr="00AC0130" w:rsidRDefault="00A97D8A" w:rsidP="00AC0130">
      <w:pPr>
        <w:spacing w:line="360" w:lineRule="auto"/>
        <w:jc w:val="both"/>
        <w:rPr>
          <w:sz w:val="22"/>
          <w:szCs w:val="22"/>
        </w:rPr>
      </w:pPr>
      <w:r w:rsidRPr="00AC0130">
        <w:rPr>
          <w:sz w:val="22"/>
          <w:szCs w:val="22"/>
        </w:rPr>
        <w:t>De nuestra consideración:</w:t>
      </w:r>
    </w:p>
    <w:p w14:paraId="2D279914" w14:textId="77777777" w:rsidR="00A97D8A" w:rsidRPr="00AC0130" w:rsidRDefault="00A97D8A" w:rsidP="00AC0130">
      <w:pPr>
        <w:spacing w:line="360" w:lineRule="auto"/>
        <w:jc w:val="both"/>
        <w:rPr>
          <w:sz w:val="22"/>
          <w:szCs w:val="22"/>
        </w:rPr>
      </w:pPr>
      <w:r w:rsidRPr="00AC0130">
        <w:rPr>
          <w:sz w:val="22"/>
          <w:szCs w:val="22"/>
        </w:rPr>
        <w:t xml:space="preserve">   </w:t>
      </w:r>
      <w:r w:rsidR="005A239A" w:rsidRPr="00AC0130">
        <w:rPr>
          <w:sz w:val="22"/>
          <w:szCs w:val="22"/>
        </w:rPr>
        <w:t xml:space="preserve">                                    </w:t>
      </w:r>
      <w:r w:rsidRPr="00AC0130">
        <w:rPr>
          <w:sz w:val="22"/>
          <w:szCs w:val="22"/>
        </w:rPr>
        <w:t xml:space="preserve">  Remitimos copia del presente proyecto para ser incluida en el orden del día de la próxima sesión.</w:t>
      </w:r>
    </w:p>
    <w:p w14:paraId="632866FC" w14:textId="77777777" w:rsidR="00A97D8A" w:rsidRPr="00AC0130" w:rsidRDefault="00A97D8A" w:rsidP="00AC0130">
      <w:pPr>
        <w:spacing w:line="360" w:lineRule="auto"/>
        <w:jc w:val="both"/>
        <w:rPr>
          <w:b/>
          <w:bCs/>
          <w:sz w:val="22"/>
          <w:szCs w:val="22"/>
          <w:u w:val="single"/>
        </w:rPr>
      </w:pPr>
    </w:p>
    <w:p w14:paraId="2003BFC5" w14:textId="3F6D68A0" w:rsidR="0045465A" w:rsidRPr="00AC0130" w:rsidRDefault="00CD04AC" w:rsidP="00AC0130">
      <w:pPr>
        <w:spacing w:line="360" w:lineRule="auto"/>
        <w:jc w:val="center"/>
        <w:rPr>
          <w:b/>
          <w:bCs/>
          <w:sz w:val="22"/>
          <w:szCs w:val="22"/>
          <w:u w:val="single"/>
        </w:rPr>
      </w:pPr>
      <w:bookmarkStart w:id="0" w:name="_GoBack"/>
      <w:bookmarkEnd w:id="0"/>
      <w:r w:rsidRPr="00AC0130">
        <w:rPr>
          <w:b/>
          <w:bCs/>
          <w:sz w:val="22"/>
          <w:szCs w:val="22"/>
          <w:u w:val="single"/>
        </w:rPr>
        <w:t xml:space="preserve">REQUIERASE INTERVENCIÓN DEL HONORABLE TRIBUNAL DE CUENTAS DE LA PROVINCIA DE BUENOS AIRES POR ACTOS REALIZADOS SIN AUTORIZACIÓN DE ESTE </w:t>
      </w:r>
      <w:r w:rsidR="003C1D4C" w:rsidRPr="00AC0130">
        <w:rPr>
          <w:b/>
          <w:bCs/>
          <w:sz w:val="22"/>
          <w:szCs w:val="22"/>
          <w:u w:val="single"/>
        </w:rPr>
        <w:t>HCD. -</w:t>
      </w:r>
    </w:p>
    <w:p w14:paraId="4AE0A376" w14:textId="77777777" w:rsidR="00F44F91" w:rsidRPr="00AC0130" w:rsidRDefault="00F44F91" w:rsidP="00AC0130">
      <w:pPr>
        <w:spacing w:line="360" w:lineRule="auto"/>
        <w:jc w:val="both"/>
        <w:rPr>
          <w:b/>
          <w:bCs/>
          <w:sz w:val="22"/>
          <w:szCs w:val="22"/>
          <w:u w:val="single"/>
        </w:rPr>
      </w:pPr>
    </w:p>
    <w:p w14:paraId="6B5B2BFB" w14:textId="77777777" w:rsidR="0085134E" w:rsidRPr="00AC0130" w:rsidRDefault="0085134E" w:rsidP="00AC0130">
      <w:pPr>
        <w:spacing w:line="360" w:lineRule="auto"/>
        <w:jc w:val="both"/>
        <w:rPr>
          <w:b/>
          <w:bCs/>
          <w:sz w:val="22"/>
          <w:szCs w:val="22"/>
        </w:rPr>
      </w:pPr>
      <w:r w:rsidRPr="00AC0130">
        <w:rPr>
          <w:b/>
          <w:bCs/>
          <w:sz w:val="22"/>
          <w:szCs w:val="22"/>
        </w:rPr>
        <w:t xml:space="preserve">VISTO:  </w:t>
      </w:r>
    </w:p>
    <w:p w14:paraId="32E91F54" w14:textId="4C7A94D6" w:rsidR="009A5B2D" w:rsidRPr="00AC0130" w:rsidRDefault="00CD04AC" w:rsidP="00AC0130">
      <w:pPr>
        <w:spacing w:line="360" w:lineRule="auto"/>
        <w:ind w:firstLine="708"/>
        <w:jc w:val="both"/>
        <w:rPr>
          <w:sz w:val="22"/>
          <w:szCs w:val="22"/>
        </w:rPr>
      </w:pPr>
      <w:r w:rsidRPr="00AC0130">
        <w:rPr>
          <w:sz w:val="22"/>
          <w:szCs w:val="22"/>
        </w:rPr>
        <w:t>La Nota de Secretaría N° 104 de este Honorable Concejo Deliberante de fecha 12/06/2026; lo resuelto en la 7° Sesión Ordinaria celebrada el día 11 de junio de 2026 respecto de los Expedientes N° 6127/O y N° 6128/O; la utilización de bienes municipales por terceros sin autorización legislativa; el incumplimiento de la Ordenanza N° 3030; los artículos 241 a 244 del Decreto-Ley N° 6769/58; el artículo 159 de la Constitución de la Provincia de Buenos Aires; la Ley Orgánica del Honorable Tribunal de Cuentas N° 10.869; el Decreto-Ley N° 7647/70; y</w:t>
      </w:r>
      <w:r w:rsidR="00333D00" w:rsidRPr="00AC0130">
        <w:rPr>
          <w:sz w:val="22"/>
          <w:szCs w:val="22"/>
        </w:rPr>
        <w:t>,</w:t>
      </w:r>
    </w:p>
    <w:p w14:paraId="625A0807" w14:textId="77777777" w:rsidR="00333D00" w:rsidRPr="00AC0130" w:rsidRDefault="00333D00" w:rsidP="00AC0130">
      <w:pPr>
        <w:spacing w:line="360" w:lineRule="auto"/>
        <w:ind w:firstLine="708"/>
        <w:jc w:val="both"/>
        <w:rPr>
          <w:b/>
          <w:bCs/>
          <w:sz w:val="22"/>
          <w:szCs w:val="22"/>
        </w:rPr>
      </w:pPr>
    </w:p>
    <w:p w14:paraId="321AA7B0" w14:textId="783B785E" w:rsidR="00CD04AC" w:rsidRDefault="0085134E" w:rsidP="00F34703">
      <w:pPr>
        <w:spacing w:line="360" w:lineRule="auto"/>
        <w:jc w:val="both"/>
        <w:rPr>
          <w:b/>
          <w:bCs/>
          <w:sz w:val="22"/>
          <w:szCs w:val="22"/>
        </w:rPr>
      </w:pPr>
      <w:r w:rsidRPr="00AC0130">
        <w:rPr>
          <w:b/>
          <w:bCs/>
          <w:sz w:val="22"/>
          <w:szCs w:val="22"/>
        </w:rPr>
        <w:t>CONSIDERANDO:</w:t>
      </w:r>
    </w:p>
    <w:p w14:paraId="1C859B79" w14:textId="77777777" w:rsidR="00F34703" w:rsidRPr="00CD04AC" w:rsidRDefault="00F34703" w:rsidP="00F34703">
      <w:pPr>
        <w:spacing w:line="360" w:lineRule="auto"/>
        <w:jc w:val="both"/>
        <w:rPr>
          <w:b/>
          <w:bCs/>
          <w:sz w:val="22"/>
          <w:szCs w:val="22"/>
        </w:rPr>
      </w:pPr>
    </w:p>
    <w:p w14:paraId="076C7EF0" w14:textId="015920A2" w:rsidR="00CD04AC" w:rsidRPr="00CD04AC" w:rsidRDefault="00CD04AC" w:rsidP="00AC0130">
      <w:pPr>
        <w:spacing w:before="100" w:beforeAutospacing="1" w:after="100" w:afterAutospacing="1" w:line="360" w:lineRule="auto"/>
        <w:jc w:val="both"/>
        <w:outlineLvl w:val="2"/>
        <w:rPr>
          <w:b/>
          <w:bCs/>
          <w:sz w:val="22"/>
          <w:szCs w:val="22"/>
          <w:lang w:val="es-AR" w:eastAsia="en-US"/>
        </w:rPr>
      </w:pPr>
      <w:r w:rsidRPr="00CD04AC">
        <w:rPr>
          <w:b/>
          <w:bCs/>
          <w:sz w:val="22"/>
          <w:szCs w:val="22"/>
          <w:lang w:val="es-AR" w:eastAsia="en-US"/>
        </w:rPr>
        <w:t>I. ACTOS DEL DEPARTAMENTO EJECUTIVO EJECUTADOS SIN AUTORIZACIÓN DEL HONORABLE CONCEJO DELIBERANTE</w:t>
      </w:r>
      <w:r w:rsidR="008C4B0A">
        <w:rPr>
          <w:b/>
          <w:bCs/>
          <w:sz w:val="22"/>
          <w:szCs w:val="22"/>
          <w:lang w:val="es-AR" w:eastAsia="en-US"/>
        </w:rPr>
        <w:t>.</w:t>
      </w:r>
    </w:p>
    <w:p w14:paraId="17A12F67" w14:textId="5EE0D423" w:rsidR="00AC0130" w:rsidRPr="00AC0130" w:rsidRDefault="00AC0130" w:rsidP="00AC0130">
      <w:pPr>
        <w:spacing w:before="100" w:beforeAutospacing="1" w:after="100" w:afterAutospacing="1" w:line="360" w:lineRule="auto"/>
        <w:ind w:firstLine="708"/>
        <w:jc w:val="both"/>
        <w:rPr>
          <w:sz w:val="22"/>
          <w:szCs w:val="22"/>
          <w:u w:val="single"/>
          <w:lang w:val="es-AR" w:eastAsia="en-US"/>
        </w:rPr>
      </w:pPr>
      <w:r w:rsidRPr="00AC0130">
        <w:rPr>
          <w:sz w:val="22"/>
          <w:szCs w:val="22"/>
          <w:u w:val="single"/>
          <w:lang w:val="es-AR" w:eastAsia="en-US"/>
        </w:rPr>
        <w:t xml:space="preserve">I.A. Corte de calles desaprobado por el Honorable Concejo Deliberante.: </w:t>
      </w:r>
    </w:p>
    <w:p w14:paraId="68FED94F" w14:textId="77777777" w:rsidR="00AC0130" w:rsidRDefault="00AC0130" w:rsidP="00AC0130">
      <w:pPr>
        <w:spacing w:before="100" w:beforeAutospacing="1" w:after="100" w:afterAutospacing="1" w:line="360" w:lineRule="auto"/>
        <w:ind w:firstLine="708"/>
        <w:jc w:val="both"/>
        <w:rPr>
          <w:sz w:val="22"/>
          <w:szCs w:val="22"/>
          <w:lang w:val="es-AR" w:eastAsia="en-US"/>
        </w:rPr>
      </w:pPr>
      <w:r w:rsidRPr="00AC0130">
        <w:rPr>
          <w:sz w:val="22"/>
          <w:szCs w:val="22"/>
          <w:lang w:val="es-AR" w:eastAsia="en-US"/>
        </w:rPr>
        <w:t xml:space="preserve">Que mediante la Nota de Secretaría N° 104, de fecha 12 de junio de 2026 (ingresada por Mesa de Entradas de la Municipalidad de Chascomús el 12/06/2026 a las 10:30 </w:t>
      </w:r>
      <w:proofErr w:type="spellStart"/>
      <w:r w:rsidRPr="00AC0130">
        <w:rPr>
          <w:sz w:val="22"/>
          <w:szCs w:val="22"/>
          <w:lang w:val="es-AR" w:eastAsia="en-US"/>
        </w:rPr>
        <w:t>hs</w:t>
      </w:r>
      <w:proofErr w:type="spellEnd"/>
      <w:r w:rsidRPr="00AC0130">
        <w:rPr>
          <w:sz w:val="22"/>
          <w:szCs w:val="22"/>
          <w:lang w:val="es-AR" w:eastAsia="en-US"/>
        </w:rPr>
        <w:t xml:space="preserve">.), este Cuerpo comunicó </w:t>
      </w:r>
      <w:r w:rsidRPr="00AC0130">
        <w:rPr>
          <w:sz w:val="22"/>
          <w:szCs w:val="22"/>
          <w:lang w:val="es-AR" w:eastAsia="en-US"/>
        </w:rPr>
        <w:lastRenderedPageBreak/>
        <w:t>formalmente al Sr. Intendente Municipal lo resuelto en la 7ª Sesión Ordinaria celebrada el 11 de junio de 2026;</w:t>
      </w:r>
    </w:p>
    <w:p w14:paraId="3FA2E1F6" w14:textId="77777777" w:rsidR="00AC0130" w:rsidRDefault="00AC0130" w:rsidP="00AC0130">
      <w:pPr>
        <w:spacing w:before="100" w:beforeAutospacing="1" w:after="100" w:afterAutospacing="1" w:line="360" w:lineRule="auto"/>
        <w:ind w:firstLine="708"/>
        <w:jc w:val="both"/>
        <w:rPr>
          <w:sz w:val="22"/>
          <w:szCs w:val="22"/>
          <w:lang w:val="es-AR" w:eastAsia="en-US"/>
        </w:rPr>
      </w:pPr>
      <w:r w:rsidRPr="00AC0130">
        <w:rPr>
          <w:sz w:val="22"/>
          <w:szCs w:val="22"/>
          <w:lang w:val="es-AR" w:eastAsia="en-US"/>
        </w:rPr>
        <w:t>Que en dicha sesión se desaprobó el expediente N° 6127/O, por el cual se solicitaba el corte de calles para el evento “Festival del Paseo”, y se desaprobó el expediente N° 6128/O, por el cual se solicitaba el corte de calles para las “Vacaciones de Invierno”;</w:t>
      </w:r>
    </w:p>
    <w:p w14:paraId="79D1B8F7" w14:textId="77777777" w:rsidR="00AC0130" w:rsidRDefault="00AC0130" w:rsidP="00AC0130">
      <w:pPr>
        <w:spacing w:before="100" w:beforeAutospacing="1" w:after="100" w:afterAutospacing="1" w:line="360" w:lineRule="auto"/>
        <w:ind w:firstLine="708"/>
        <w:jc w:val="both"/>
        <w:rPr>
          <w:sz w:val="22"/>
          <w:szCs w:val="22"/>
          <w:lang w:val="es-AR" w:eastAsia="en-US"/>
        </w:rPr>
      </w:pPr>
      <w:r w:rsidRPr="00AC0130">
        <w:rPr>
          <w:sz w:val="22"/>
          <w:szCs w:val="22"/>
          <w:lang w:val="es-AR" w:eastAsia="en-US"/>
        </w:rPr>
        <w:t>Que la propia tramitación de la solicitud por expediente sometido a tratamiento de este Cuerpo evidencia que el Departamento Ejecutivo reconoció que la medida requería autorización del Honorable Concejo Deliberante, autorización que fue expresa y formalmente denegada;</w:t>
      </w:r>
    </w:p>
    <w:p w14:paraId="40546049" w14:textId="1B4F5652" w:rsidR="00AC0130" w:rsidRDefault="00AC0130" w:rsidP="00AC0130">
      <w:pPr>
        <w:spacing w:before="100" w:beforeAutospacing="1" w:after="100" w:afterAutospacing="1" w:line="360" w:lineRule="auto"/>
        <w:ind w:firstLine="708"/>
        <w:jc w:val="both"/>
        <w:rPr>
          <w:sz w:val="22"/>
          <w:szCs w:val="22"/>
          <w:lang w:val="es-AR" w:eastAsia="en-US"/>
        </w:rPr>
      </w:pPr>
      <w:r w:rsidRPr="00AC0130">
        <w:rPr>
          <w:sz w:val="22"/>
          <w:szCs w:val="22"/>
          <w:lang w:val="es-AR" w:eastAsia="en-US"/>
        </w:rPr>
        <w:t xml:space="preserve">Que, no </w:t>
      </w:r>
      <w:r w:rsidR="008C4B0A" w:rsidRPr="00AC0130">
        <w:rPr>
          <w:sz w:val="22"/>
          <w:szCs w:val="22"/>
          <w:lang w:val="es-AR" w:eastAsia="en-US"/>
        </w:rPr>
        <w:t>obstante,</w:t>
      </w:r>
      <w:r w:rsidRPr="00AC0130">
        <w:rPr>
          <w:sz w:val="22"/>
          <w:szCs w:val="22"/>
          <w:lang w:val="es-AR" w:eastAsia="en-US"/>
        </w:rPr>
        <w:t xml:space="preserve"> la desaprobación, el corte de calles se ejecutó igualmente durante el fin de semana subsiguiente, hecho que tomó estado público y fue difundido por canales abiertos, conforme se documenta en el Anexo I;</w:t>
      </w:r>
    </w:p>
    <w:p w14:paraId="16B8B14E" w14:textId="77777777" w:rsidR="00AC0130" w:rsidRDefault="00AC0130" w:rsidP="00AC0130">
      <w:pPr>
        <w:spacing w:before="100" w:beforeAutospacing="1" w:after="100" w:afterAutospacing="1" w:line="360" w:lineRule="auto"/>
        <w:ind w:firstLine="708"/>
        <w:jc w:val="both"/>
        <w:rPr>
          <w:sz w:val="22"/>
          <w:szCs w:val="22"/>
          <w:lang w:val="es-AR" w:eastAsia="en-US"/>
        </w:rPr>
      </w:pPr>
      <w:r w:rsidRPr="00AC0130">
        <w:rPr>
          <w:sz w:val="22"/>
          <w:szCs w:val="22"/>
          <w:lang w:val="es-AR" w:eastAsia="en-US"/>
        </w:rPr>
        <w:t>Que el evento y el consecuente corte y vallado de la vía pública se inscriben en la órbita de competencia de la Secretaría de Turismo —que promueve y organiza el evento— y de la Secretaría de Seguridad Ciudadana —que dispone y ejecuta el operativo sobre la vía pública—, correspondiendo señalar a sus titulares como los funcionarios de cuya ó</w:t>
      </w:r>
      <w:r>
        <w:rPr>
          <w:sz w:val="22"/>
          <w:szCs w:val="22"/>
          <w:lang w:val="es-AR" w:eastAsia="en-US"/>
        </w:rPr>
        <w:t xml:space="preserve">rbita emanó y se consumó el acto. </w:t>
      </w:r>
    </w:p>
    <w:p w14:paraId="6AC89F65" w14:textId="77777777" w:rsidR="00AC0130" w:rsidRPr="00AC0130" w:rsidRDefault="00AC0130" w:rsidP="00AC0130">
      <w:pPr>
        <w:spacing w:before="100" w:beforeAutospacing="1" w:after="100" w:afterAutospacing="1" w:line="360" w:lineRule="auto"/>
        <w:ind w:firstLine="708"/>
        <w:jc w:val="both"/>
        <w:rPr>
          <w:sz w:val="22"/>
          <w:szCs w:val="22"/>
          <w:u w:val="single"/>
          <w:lang w:val="es-AR" w:eastAsia="en-US"/>
        </w:rPr>
      </w:pPr>
      <w:r w:rsidRPr="00AC0130">
        <w:rPr>
          <w:sz w:val="22"/>
          <w:szCs w:val="22"/>
          <w:u w:val="single"/>
          <w:lang w:val="es-AR" w:eastAsia="en-US"/>
        </w:rPr>
        <w:t xml:space="preserve">I.B. Cesión en uso de bienes municipales sin el comodato autorizado por este Cuerpo: </w:t>
      </w:r>
    </w:p>
    <w:p w14:paraId="516F5690" w14:textId="77777777" w:rsidR="008C4B0A" w:rsidRDefault="00AC0130" w:rsidP="00AC0130">
      <w:pPr>
        <w:spacing w:before="100" w:beforeAutospacing="1" w:after="100" w:afterAutospacing="1" w:line="360" w:lineRule="auto"/>
        <w:ind w:firstLine="708"/>
        <w:jc w:val="both"/>
        <w:rPr>
          <w:sz w:val="22"/>
          <w:szCs w:val="22"/>
          <w:lang w:val="es-AR" w:eastAsia="en-US"/>
        </w:rPr>
      </w:pPr>
      <w:r w:rsidRPr="00AC0130">
        <w:rPr>
          <w:sz w:val="22"/>
          <w:szCs w:val="22"/>
          <w:lang w:val="es-AR" w:eastAsia="en-US"/>
        </w:rPr>
        <w:t xml:space="preserve">Que la cooperativa que gestiona el tratamiento de residuos reciclables en el basural municipal viene utilizando, desde hace </w:t>
      </w:r>
      <w:r w:rsidR="008C4B0A" w:rsidRPr="00AC0130">
        <w:rPr>
          <w:sz w:val="22"/>
          <w:szCs w:val="22"/>
          <w:lang w:val="es-AR" w:eastAsia="en-US"/>
        </w:rPr>
        <w:t>más</w:t>
      </w:r>
      <w:r w:rsidRPr="00AC0130">
        <w:rPr>
          <w:sz w:val="22"/>
          <w:szCs w:val="22"/>
          <w:lang w:val="es-AR" w:eastAsia="en-US"/>
        </w:rPr>
        <w:t xml:space="preserve"> de un año, un predio municipal, un camión marca </w:t>
      </w:r>
      <w:r w:rsidR="008C4B0A">
        <w:rPr>
          <w:sz w:val="22"/>
          <w:szCs w:val="22"/>
          <w:lang w:val="es-AR" w:eastAsia="en-US"/>
        </w:rPr>
        <w:t>IVECO dominio AE404VU,</w:t>
      </w:r>
      <w:r w:rsidRPr="00AC0130">
        <w:rPr>
          <w:sz w:val="22"/>
          <w:szCs w:val="22"/>
          <w:lang w:val="es-AR" w:eastAsia="en-US"/>
        </w:rPr>
        <w:t xml:space="preserve"> y demás e</w:t>
      </w:r>
      <w:r w:rsidR="008C4B0A">
        <w:rPr>
          <w:sz w:val="22"/>
          <w:szCs w:val="22"/>
          <w:lang w:val="es-AR" w:eastAsia="en-US"/>
        </w:rPr>
        <w:t>lementos de propiedad municipal;</w:t>
      </w:r>
    </w:p>
    <w:p w14:paraId="517AABB8" w14:textId="77777777" w:rsidR="008C4B0A" w:rsidRDefault="008C4B0A" w:rsidP="00AC0130">
      <w:pPr>
        <w:spacing w:before="100" w:beforeAutospacing="1" w:after="100" w:afterAutospacing="1" w:line="360" w:lineRule="auto"/>
        <w:ind w:firstLine="708"/>
        <w:jc w:val="both"/>
        <w:rPr>
          <w:sz w:val="22"/>
          <w:szCs w:val="22"/>
          <w:lang w:val="es-AR" w:eastAsia="en-US"/>
        </w:rPr>
      </w:pPr>
      <w:r>
        <w:rPr>
          <w:sz w:val="22"/>
          <w:szCs w:val="22"/>
          <w:lang w:val="es-AR" w:eastAsia="en-US"/>
        </w:rPr>
        <w:t xml:space="preserve"> </w:t>
      </w:r>
      <w:r w:rsidR="00AC0130" w:rsidRPr="00AC0130">
        <w:rPr>
          <w:sz w:val="22"/>
          <w:szCs w:val="22"/>
          <w:lang w:val="es-AR" w:eastAsia="en-US"/>
        </w:rPr>
        <w:t>Que la cesión en comodato, tanto del espacio o inmueble como del camión y los elementos referidos, requiere la autorización de este Honorable Concejo Deliberante, sin que a la fecha el Cuerpo haya dado curso a instrumento alguno que la otorgue, encontrándose el/los proyecto/s respectivo/s sin tratamiento;</w:t>
      </w:r>
    </w:p>
    <w:p w14:paraId="4C2C96A4" w14:textId="77777777" w:rsidR="008C4B0A" w:rsidRDefault="00AC0130" w:rsidP="00AC0130">
      <w:pPr>
        <w:spacing w:before="100" w:beforeAutospacing="1" w:after="100" w:afterAutospacing="1" w:line="360" w:lineRule="auto"/>
        <w:ind w:firstLine="708"/>
        <w:jc w:val="both"/>
        <w:rPr>
          <w:sz w:val="22"/>
          <w:szCs w:val="22"/>
          <w:lang w:val="es-AR" w:eastAsia="en-US"/>
        </w:rPr>
      </w:pPr>
      <w:r w:rsidRPr="00AC0130">
        <w:rPr>
          <w:sz w:val="22"/>
          <w:szCs w:val="22"/>
          <w:lang w:val="es-AR" w:eastAsia="en-US"/>
        </w:rPr>
        <w:t>Que la administración y disposición de los bienes municipales, así como su registro patrimonial, corresponden a la órbita de la Secretaría de Gobierno y de la Secretaría de Hacienda, cuyos titulares resultan los funcionarios responsables de haber afectado bienes municipales en favor de un tercero sin el título habilitante legalmente exigido;</w:t>
      </w:r>
    </w:p>
    <w:p w14:paraId="40A5D3EF" w14:textId="72888CF4" w:rsidR="00CD04AC" w:rsidRPr="00CD04AC" w:rsidRDefault="00CD04AC" w:rsidP="00AC0130">
      <w:pPr>
        <w:spacing w:before="100" w:beforeAutospacing="1" w:after="100" w:afterAutospacing="1" w:line="360" w:lineRule="auto"/>
        <w:ind w:firstLine="708"/>
        <w:jc w:val="both"/>
        <w:rPr>
          <w:sz w:val="22"/>
          <w:szCs w:val="22"/>
          <w:lang w:val="es-AR" w:eastAsia="en-US"/>
        </w:rPr>
      </w:pPr>
      <w:r w:rsidRPr="00CD04AC">
        <w:rPr>
          <w:sz w:val="22"/>
          <w:szCs w:val="22"/>
          <w:lang w:val="es-AR" w:eastAsia="en-US"/>
        </w:rPr>
        <w:lastRenderedPageBreak/>
        <w:t xml:space="preserve">Que </w:t>
      </w:r>
      <w:r w:rsidR="008C4B0A">
        <w:rPr>
          <w:sz w:val="22"/>
          <w:szCs w:val="22"/>
          <w:lang w:val="es-AR" w:eastAsia="en-US"/>
        </w:rPr>
        <w:t xml:space="preserve">la circunstancia descripta </w:t>
      </w:r>
      <w:r w:rsidRPr="00CD04AC">
        <w:rPr>
          <w:sz w:val="22"/>
          <w:szCs w:val="22"/>
          <w:lang w:val="es-AR" w:eastAsia="en-US"/>
        </w:rPr>
        <w:t>implica una afectación directa al principio de división de poderes dentro del ámbito municipal, alterando el equilibrio institucional previsto por la Ley Orgánica de las Municipalidades;</w:t>
      </w:r>
    </w:p>
    <w:p w14:paraId="5193B239" w14:textId="12817F86" w:rsidR="00CD04AC" w:rsidRPr="00CD04AC" w:rsidRDefault="00CD04AC" w:rsidP="00AC0130">
      <w:pPr>
        <w:spacing w:before="100" w:beforeAutospacing="1" w:after="100" w:afterAutospacing="1" w:line="360" w:lineRule="auto"/>
        <w:ind w:firstLine="708"/>
        <w:jc w:val="both"/>
        <w:rPr>
          <w:sz w:val="22"/>
          <w:szCs w:val="22"/>
          <w:lang w:val="es-AR" w:eastAsia="en-US"/>
        </w:rPr>
      </w:pPr>
      <w:r w:rsidRPr="00CD04AC">
        <w:rPr>
          <w:sz w:val="22"/>
          <w:szCs w:val="22"/>
          <w:lang w:val="es-AR" w:eastAsia="en-US"/>
        </w:rPr>
        <w:t>Que no puede considerarse un mero incumplimiento formal, toda vez que la actuación administrativa desplegada produjo efectos concretos sobre bienes de dominio público municipal, afectando recursos humanos, materiales y eventualmente económicos del Estado local;</w:t>
      </w:r>
    </w:p>
    <w:p w14:paraId="2A29081B" w14:textId="15541FEC" w:rsidR="00CD04AC" w:rsidRPr="00CD04AC" w:rsidRDefault="00CD04AC" w:rsidP="00AC0130">
      <w:pPr>
        <w:spacing w:before="100" w:beforeAutospacing="1" w:after="100" w:afterAutospacing="1" w:line="360" w:lineRule="auto"/>
        <w:jc w:val="both"/>
        <w:outlineLvl w:val="2"/>
        <w:rPr>
          <w:b/>
          <w:bCs/>
          <w:sz w:val="22"/>
          <w:szCs w:val="22"/>
          <w:lang w:val="es-AR" w:eastAsia="en-US"/>
        </w:rPr>
      </w:pPr>
      <w:r w:rsidRPr="00CD04AC">
        <w:rPr>
          <w:b/>
          <w:bCs/>
          <w:sz w:val="22"/>
          <w:szCs w:val="22"/>
          <w:lang w:val="es-AR" w:eastAsia="en-US"/>
        </w:rPr>
        <w:t>II. AFECTACIÓN DE BIENES MUNICIPALES SIN EL PROCEDIMIENTO LEGAL CORRESPONDIENTE</w:t>
      </w:r>
      <w:r w:rsidR="008C4B0A">
        <w:rPr>
          <w:b/>
          <w:bCs/>
          <w:sz w:val="22"/>
          <w:szCs w:val="22"/>
          <w:lang w:val="es-AR" w:eastAsia="en-US"/>
        </w:rPr>
        <w:t>.</w:t>
      </w:r>
    </w:p>
    <w:p w14:paraId="0328ADA8" w14:textId="77777777" w:rsidR="00CD04AC" w:rsidRPr="00CD04AC" w:rsidRDefault="00CD04AC" w:rsidP="00AC0130">
      <w:pPr>
        <w:spacing w:before="100" w:beforeAutospacing="1" w:after="100" w:afterAutospacing="1" w:line="360" w:lineRule="auto"/>
        <w:ind w:firstLine="708"/>
        <w:jc w:val="both"/>
        <w:rPr>
          <w:sz w:val="22"/>
          <w:szCs w:val="22"/>
          <w:lang w:val="es-AR" w:eastAsia="en-US"/>
        </w:rPr>
      </w:pPr>
      <w:r w:rsidRPr="00CD04AC">
        <w:rPr>
          <w:sz w:val="22"/>
          <w:szCs w:val="22"/>
          <w:lang w:val="es-AR" w:eastAsia="en-US"/>
        </w:rPr>
        <w:t>Que los bienes integrantes del patrimonio municipal se encuentran sujetos a un régimen jurídico especial, en tanto pertenecen a la comunidad y su disposición o afectación debe encontrarse debidamente fundada y autorizada conforme la normativa vigente;</w:t>
      </w:r>
    </w:p>
    <w:p w14:paraId="4A9AC233" w14:textId="77777777" w:rsidR="00CD04AC" w:rsidRPr="00CD04AC" w:rsidRDefault="00CD04AC" w:rsidP="00AC0130">
      <w:pPr>
        <w:spacing w:before="100" w:beforeAutospacing="1" w:after="100" w:afterAutospacing="1" w:line="360" w:lineRule="auto"/>
        <w:ind w:firstLine="708"/>
        <w:jc w:val="both"/>
        <w:rPr>
          <w:sz w:val="22"/>
          <w:szCs w:val="22"/>
          <w:lang w:val="es-AR" w:eastAsia="en-US"/>
        </w:rPr>
      </w:pPr>
      <w:r w:rsidRPr="00CD04AC">
        <w:rPr>
          <w:sz w:val="22"/>
          <w:szCs w:val="22"/>
          <w:lang w:val="es-AR" w:eastAsia="en-US"/>
        </w:rPr>
        <w:t>Que la entrega o utilización por terceros de bienes municipales requiere la instrumentación jurídica correspondiente y la intervención del Honorable Concejo Deliberante cuando así lo exige la Ley Orgánica de las Municipalidades;</w:t>
      </w:r>
    </w:p>
    <w:p w14:paraId="2E18F2E6" w14:textId="77777777" w:rsidR="00CD04AC" w:rsidRPr="00CD04AC" w:rsidRDefault="00CD04AC" w:rsidP="00AC0130">
      <w:pPr>
        <w:spacing w:before="100" w:beforeAutospacing="1" w:after="100" w:afterAutospacing="1" w:line="360" w:lineRule="auto"/>
        <w:ind w:firstLine="708"/>
        <w:jc w:val="both"/>
        <w:rPr>
          <w:sz w:val="22"/>
          <w:szCs w:val="22"/>
          <w:lang w:val="es-AR" w:eastAsia="en-US"/>
        </w:rPr>
      </w:pPr>
      <w:r w:rsidRPr="00CD04AC">
        <w:rPr>
          <w:sz w:val="22"/>
          <w:szCs w:val="22"/>
          <w:lang w:val="es-AR" w:eastAsia="en-US"/>
        </w:rPr>
        <w:t>Que la ausencia de un comodato formalmente aprobado genera una situación irregular respecto de la tenencia, uso, conservación, responsabilidad y eventual deterioro de bienes pertenecientes al erario municipal;</w:t>
      </w:r>
    </w:p>
    <w:p w14:paraId="2C4D3AF5" w14:textId="18E213F7" w:rsidR="00CD04AC" w:rsidRPr="00CD04AC" w:rsidRDefault="00CD04AC" w:rsidP="00AC0130">
      <w:pPr>
        <w:spacing w:before="100" w:beforeAutospacing="1" w:after="100" w:afterAutospacing="1" w:line="360" w:lineRule="auto"/>
        <w:ind w:firstLine="708"/>
        <w:jc w:val="both"/>
        <w:rPr>
          <w:sz w:val="22"/>
          <w:szCs w:val="22"/>
          <w:lang w:val="es-AR" w:eastAsia="en-US"/>
        </w:rPr>
      </w:pPr>
      <w:r w:rsidRPr="00CD04AC">
        <w:rPr>
          <w:sz w:val="22"/>
          <w:szCs w:val="22"/>
          <w:lang w:val="es-AR" w:eastAsia="en-US"/>
        </w:rPr>
        <w:t>Que la administración de bienes públicos sin título jurídico habilitante compromete la responsabilidad de los funcionarios intervinientes, en tanto tienen el deber legal de preservar el patrimonio estatal;</w:t>
      </w:r>
    </w:p>
    <w:p w14:paraId="29DBA312" w14:textId="153D367A" w:rsidR="00CD04AC" w:rsidRPr="00CD04AC" w:rsidRDefault="00CD04AC" w:rsidP="00AC0130">
      <w:pPr>
        <w:spacing w:before="100" w:beforeAutospacing="1" w:after="100" w:afterAutospacing="1" w:line="360" w:lineRule="auto"/>
        <w:jc w:val="both"/>
        <w:outlineLvl w:val="2"/>
        <w:rPr>
          <w:b/>
          <w:bCs/>
          <w:sz w:val="22"/>
          <w:szCs w:val="22"/>
          <w:lang w:val="es-AR" w:eastAsia="en-US"/>
        </w:rPr>
      </w:pPr>
      <w:r w:rsidRPr="00CD04AC">
        <w:rPr>
          <w:b/>
          <w:bCs/>
          <w:sz w:val="22"/>
          <w:szCs w:val="22"/>
          <w:lang w:val="es-AR" w:eastAsia="en-US"/>
        </w:rPr>
        <w:t>I</w:t>
      </w:r>
      <w:r w:rsidR="00F34703">
        <w:rPr>
          <w:b/>
          <w:bCs/>
          <w:sz w:val="22"/>
          <w:szCs w:val="22"/>
          <w:lang w:val="es-AR" w:eastAsia="en-US"/>
        </w:rPr>
        <w:t>II</w:t>
      </w:r>
      <w:r w:rsidRPr="00CD04AC">
        <w:rPr>
          <w:b/>
          <w:bCs/>
          <w:sz w:val="22"/>
          <w:szCs w:val="22"/>
          <w:lang w:val="es-AR" w:eastAsia="en-US"/>
        </w:rPr>
        <w:t>. INCUMPLIMIENTO DE LA ORDENANZA N° 3030. AFECTACIÓN DEL DERECHO AL COBRO ÍNTEGRO DEL HABER MUNICIPAL</w:t>
      </w:r>
      <w:r w:rsidR="008C4B0A">
        <w:rPr>
          <w:b/>
          <w:bCs/>
          <w:sz w:val="22"/>
          <w:szCs w:val="22"/>
          <w:lang w:val="es-AR" w:eastAsia="en-US"/>
        </w:rPr>
        <w:t>.</w:t>
      </w:r>
    </w:p>
    <w:p w14:paraId="570789DA" w14:textId="77777777" w:rsidR="008C4B0A" w:rsidRDefault="00AC0130" w:rsidP="008C4B0A">
      <w:pPr>
        <w:spacing w:before="100" w:beforeAutospacing="1" w:after="100" w:afterAutospacing="1" w:line="360" w:lineRule="auto"/>
        <w:ind w:firstLine="708"/>
        <w:jc w:val="both"/>
        <w:rPr>
          <w:sz w:val="22"/>
          <w:szCs w:val="22"/>
          <w:lang w:val="es-AR" w:eastAsia="en-US"/>
        </w:rPr>
      </w:pPr>
      <w:r w:rsidRPr="00AC0130">
        <w:rPr>
          <w:sz w:val="22"/>
          <w:szCs w:val="22"/>
          <w:lang w:val="es-AR" w:eastAsia="en-US"/>
        </w:rPr>
        <w:t>Que la Ordenanza N° 3030 instituyó el Sistema de Registro Único y Código de Descuento sobre los haberes municipales, estableciendo en su artículo 8° que las retenciones de carácter no obligatorio —por cuotas societarias, prestaciones de salud y/o farmacéuticas, turismo, adquisición de bienes, prestaciones de servicios y ayuda financiera— no podrán superar, en su conjunto y bajo ningún concepto, el treinta por ciento (30%) de la remuneración del agente;</w:t>
      </w:r>
    </w:p>
    <w:p w14:paraId="696449E3" w14:textId="77777777" w:rsidR="008C4B0A" w:rsidRDefault="00AC0130" w:rsidP="008C4B0A">
      <w:pPr>
        <w:spacing w:before="100" w:beforeAutospacing="1" w:after="100" w:afterAutospacing="1" w:line="360" w:lineRule="auto"/>
        <w:ind w:firstLine="708"/>
        <w:jc w:val="both"/>
        <w:rPr>
          <w:sz w:val="22"/>
          <w:szCs w:val="22"/>
          <w:lang w:val="es-AR" w:eastAsia="en-US"/>
        </w:rPr>
      </w:pPr>
      <w:r w:rsidRPr="00AC0130">
        <w:rPr>
          <w:sz w:val="22"/>
          <w:szCs w:val="22"/>
          <w:lang w:val="es-AR" w:eastAsia="en-US"/>
        </w:rPr>
        <w:lastRenderedPageBreak/>
        <w:br/>
      </w:r>
      <w:r w:rsidR="008C4B0A">
        <w:rPr>
          <w:sz w:val="22"/>
          <w:szCs w:val="22"/>
          <w:lang w:val="es-AR" w:eastAsia="en-US"/>
        </w:rPr>
        <w:t xml:space="preserve">             </w:t>
      </w:r>
      <w:r w:rsidRPr="00AC0130">
        <w:rPr>
          <w:sz w:val="22"/>
          <w:szCs w:val="22"/>
          <w:lang w:val="es-AR" w:eastAsia="en-US"/>
        </w:rPr>
        <w:t>Que su artículo 5° dispone que la retención solo podrá ser efectuada por el Departamento Ejecutivo una vez constatada la viabilidad de los descuentos conforme la norma, lo que importa un control previo de legalidad de cumplimiento obligatorio;</w:t>
      </w:r>
    </w:p>
    <w:p w14:paraId="6B52682D" w14:textId="5AEA74B7" w:rsidR="008C4B0A" w:rsidRDefault="008C4B0A" w:rsidP="008C4B0A">
      <w:pPr>
        <w:spacing w:before="100" w:beforeAutospacing="1" w:after="100" w:afterAutospacing="1" w:line="360" w:lineRule="auto"/>
        <w:ind w:firstLine="708"/>
        <w:jc w:val="both"/>
        <w:rPr>
          <w:sz w:val="22"/>
          <w:szCs w:val="22"/>
          <w:lang w:val="es-AR" w:eastAsia="en-US"/>
        </w:rPr>
      </w:pPr>
      <w:r>
        <w:rPr>
          <w:sz w:val="22"/>
          <w:szCs w:val="22"/>
          <w:lang w:val="es-AR" w:eastAsia="en-US"/>
        </w:rPr>
        <w:t xml:space="preserve"> </w:t>
      </w:r>
      <w:r w:rsidR="00AC0130" w:rsidRPr="00AC0130">
        <w:rPr>
          <w:sz w:val="22"/>
          <w:szCs w:val="22"/>
          <w:lang w:val="es-AR" w:eastAsia="en-US"/>
        </w:rPr>
        <w:t>Que del recibo de haberes del período 03/2026 que se acompaña como Anexo II —relativo a un agente municipal cuyos datos se reservan— surge que, excluidas únicamente las retenciones obligatorias (aportes a I.P.S. e I.O.M.A.), las retenciones no obligatorias ascienden a $323.129,99, equivalentes al 51,4% de una remuneración total de $628.592,84, cuando el tope legal del artículo 8° asciende a $188.577,85 (30%); configurándose un exceso de $134.552,14 —más de veintiún (21) puntos porcentuales por encima del máximo legal—, al punto de que el agente percibe de bolsillo apenas alrededor del 30% de su salario;</w:t>
      </w:r>
    </w:p>
    <w:p w14:paraId="6A1B3CCF" w14:textId="2EA6D2AA" w:rsidR="008C4B0A" w:rsidRDefault="008C4B0A" w:rsidP="008C4B0A">
      <w:pPr>
        <w:spacing w:before="100" w:beforeAutospacing="1" w:after="100" w:afterAutospacing="1" w:line="360" w:lineRule="auto"/>
        <w:ind w:firstLine="708"/>
        <w:jc w:val="both"/>
        <w:rPr>
          <w:sz w:val="22"/>
          <w:szCs w:val="22"/>
          <w:lang w:val="es-AR" w:eastAsia="en-US"/>
        </w:rPr>
      </w:pPr>
      <w:r>
        <w:rPr>
          <w:sz w:val="22"/>
          <w:szCs w:val="22"/>
          <w:lang w:val="es-AR" w:eastAsia="en-US"/>
        </w:rPr>
        <w:t xml:space="preserve"> </w:t>
      </w:r>
      <w:r w:rsidR="00AC0130" w:rsidRPr="00AC0130">
        <w:rPr>
          <w:sz w:val="22"/>
          <w:szCs w:val="22"/>
          <w:lang w:val="es-AR" w:eastAsia="en-US"/>
        </w:rPr>
        <w:t>Que el exceso persiste de manera holgada aun cuando, por hipótesis, se excluyera del cómputo cualquier otra retención de eventual carácter obligatorio, manteniéndose por encima del 46% de la remuneración;</w:t>
      </w:r>
    </w:p>
    <w:p w14:paraId="36B2F110" w14:textId="57CA86DE" w:rsidR="008C4B0A" w:rsidRDefault="008C4B0A" w:rsidP="008C4B0A">
      <w:pPr>
        <w:spacing w:before="100" w:beforeAutospacing="1" w:after="100" w:afterAutospacing="1" w:line="360" w:lineRule="auto"/>
        <w:ind w:firstLine="708"/>
        <w:jc w:val="both"/>
        <w:rPr>
          <w:sz w:val="22"/>
          <w:szCs w:val="22"/>
          <w:lang w:val="es-AR" w:eastAsia="en-US"/>
        </w:rPr>
      </w:pPr>
      <w:r>
        <w:rPr>
          <w:sz w:val="22"/>
          <w:szCs w:val="22"/>
          <w:lang w:val="es-AR" w:eastAsia="en-US"/>
        </w:rPr>
        <w:t xml:space="preserve">      </w:t>
      </w:r>
      <w:r w:rsidR="00AC0130" w:rsidRPr="00AC0130">
        <w:rPr>
          <w:sz w:val="22"/>
          <w:szCs w:val="22"/>
          <w:lang w:val="es-AR" w:eastAsia="en-US"/>
        </w:rPr>
        <w:t>Que los artículos 3° y 4° de la Ordenanza N° 3030 ponen a cargo de la autoridad de aplicación, en forma exclusiva y centralizada, la administración del sistema, con amplias facultades para inspeccionar y auditar; y su artículo 15° crea un Comité Supervisor integrado por el Subsecretario de Hacienda y el Jefe de Personal;</w:t>
      </w:r>
    </w:p>
    <w:p w14:paraId="25E82BDA" w14:textId="2837736E" w:rsidR="00AC0130" w:rsidRPr="00AC0130" w:rsidRDefault="008C4B0A" w:rsidP="008C4B0A">
      <w:pPr>
        <w:spacing w:before="100" w:beforeAutospacing="1" w:after="100" w:afterAutospacing="1" w:line="360" w:lineRule="auto"/>
        <w:ind w:firstLine="708"/>
        <w:jc w:val="both"/>
        <w:rPr>
          <w:sz w:val="22"/>
          <w:szCs w:val="22"/>
          <w:lang w:val="es-AR" w:eastAsia="en-US"/>
        </w:rPr>
      </w:pPr>
      <w:r>
        <w:rPr>
          <w:sz w:val="22"/>
          <w:szCs w:val="22"/>
          <w:lang w:val="es-AR" w:eastAsia="en-US"/>
        </w:rPr>
        <w:t xml:space="preserve">    </w:t>
      </w:r>
      <w:r w:rsidR="00AC0130" w:rsidRPr="00AC0130">
        <w:rPr>
          <w:sz w:val="22"/>
          <w:szCs w:val="22"/>
          <w:lang w:val="es-AR" w:eastAsia="en-US"/>
        </w:rPr>
        <w:t>Que el artículo 12° de la Ordenanza N° 3030 dispone que la irregularidad en su cumplimiento por parte de los funcionarios encargados de su administración se sanciona por mal desempeño de sus funciones; recayendo la responsabilidad, conforme la propia ordenanza, en la autoridad de aplicación y en los integrantes municipales del Comité Supervisor —el Subsecretario de Hacienda y el Jefe de Personal—;</w:t>
      </w:r>
    </w:p>
    <w:p w14:paraId="6A0BA9C0" w14:textId="77777777" w:rsidR="00CD04AC" w:rsidRPr="00CD04AC" w:rsidRDefault="00CD04AC" w:rsidP="00AC0130">
      <w:pPr>
        <w:spacing w:before="100" w:beforeAutospacing="1" w:after="100" w:afterAutospacing="1" w:line="360" w:lineRule="auto"/>
        <w:ind w:firstLine="708"/>
        <w:jc w:val="both"/>
        <w:rPr>
          <w:sz w:val="22"/>
          <w:szCs w:val="22"/>
          <w:lang w:val="es-AR" w:eastAsia="en-US"/>
        </w:rPr>
      </w:pPr>
      <w:r w:rsidRPr="00CD04AC">
        <w:rPr>
          <w:sz w:val="22"/>
          <w:szCs w:val="22"/>
          <w:lang w:val="es-AR" w:eastAsia="en-US"/>
        </w:rPr>
        <w:t>Que el cumplimiento de las ordenanzas municipales constituye una obligación directa de los funcionarios encargados de su ejecución, no encontrándose la administración facultada para apartarse de sus disposiciones mientras se encuentren vigentes;</w:t>
      </w:r>
    </w:p>
    <w:p w14:paraId="5C7C1E23" w14:textId="7EEE7626" w:rsidR="00CD04AC" w:rsidRPr="00626818" w:rsidRDefault="00CD04AC" w:rsidP="00AC0130">
      <w:pPr>
        <w:spacing w:before="100" w:beforeAutospacing="1" w:after="100" w:afterAutospacing="1" w:line="360" w:lineRule="auto"/>
        <w:ind w:firstLine="708"/>
        <w:jc w:val="both"/>
        <w:rPr>
          <w:color w:val="FF0000"/>
          <w:sz w:val="22"/>
          <w:szCs w:val="22"/>
          <w:lang w:val="es-AR" w:eastAsia="en-US"/>
        </w:rPr>
      </w:pPr>
      <w:r w:rsidRPr="00CD04AC">
        <w:rPr>
          <w:sz w:val="22"/>
          <w:szCs w:val="22"/>
          <w:lang w:val="es-AR" w:eastAsia="en-US"/>
        </w:rPr>
        <w:t xml:space="preserve">Que la Ordenanza N° 3030 estableció límites objetivos destinados a proteger los haberes de los agentes municipales, evitando descuentos excesivos que puedan afectar derechos alimentarios derivados </w:t>
      </w:r>
      <w:r w:rsidRPr="00CD04AC">
        <w:rPr>
          <w:sz w:val="22"/>
          <w:szCs w:val="22"/>
          <w:lang w:val="es-AR" w:eastAsia="en-US"/>
        </w:rPr>
        <w:lastRenderedPageBreak/>
        <w:t>del salario;</w:t>
      </w:r>
      <w:r w:rsidR="00626818" w:rsidRPr="00626818">
        <w:t xml:space="preserve"> </w:t>
      </w:r>
      <w:r w:rsidR="00626818" w:rsidRPr="00F1736D">
        <w:t>en concordancia con la tutela especial del salario reconocida por el artículo 14 bis de la Constitución Nacional y el artículo 39 de la Constitución de la Provincia de Buenos Aires,</w:t>
      </w:r>
    </w:p>
    <w:p w14:paraId="209D1A6E" w14:textId="77777777" w:rsidR="00CD04AC" w:rsidRPr="00CD04AC" w:rsidRDefault="00CD04AC" w:rsidP="00AC0130">
      <w:pPr>
        <w:spacing w:before="100" w:beforeAutospacing="1" w:after="100" w:afterAutospacing="1" w:line="360" w:lineRule="auto"/>
        <w:ind w:firstLine="708"/>
        <w:jc w:val="both"/>
        <w:rPr>
          <w:sz w:val="22"/>
          <w:szCs w:val="22"/>
          <w:lang w:val="es-AR" w:eastAsia="en-US"/>
        </w:rPr>
      </w:pPr>
      <w:r w:rsidRPr="00CD04AC">
        <w:rPr>
          <w:sz w:val="22"/>
          <w:szCs w:val="22"/>
          <w:lang w:val="es-AR" w:eastAsia="en-US"/>
        </w:rPr>
        <w:t>Que el incumplimiento del límite establecido configura una irregularidad administrativa que excede la mera cuestión operativa, pues compromete recursos destinados al sustento de trabajadores municipales;</w:t>
      </w:r>
    </w:p>
    <w:p w14:paraId="460BAF26" w14:textId="77777777" w:rsidR="00CD04AC" w:rsidRPr="00CD04AC" w:rsidRDefault="00CD04AC" w:rsidP="00AC0130">
      <w:pPr>
        <w:spacing w:before="100" w:beforeAutospacing="1" w:after="100" w:afterAutospacing="1" w:line="360" w:lineRule="auto"/>
        <w:ind w:firstLine="708"/>
        <w:jc w:val="both"/>
        <w:rPr>
          <w:sz w:val="22"/>
          <w:szCs w:val="22"/>
          <w:lang w:val="es-AR" w:eastAsia="en-US"/>
        </w:rPr>
      </w:pPr>
      <w:r w:rsidRPr="00CD04AC">
        <w:rPr>
          <w:sz w:val="22"/>
          <w:szCs w:val="22"/>
          <w:lang w:val="es-AR" w:eastAsia="en-US"/>
        </w:rPr>
        <w:t>Que la autoridad de aplicación y los órganos de supervisión creados por la propia ordenanza poseen deberes específicos de control, fiscalización y prevención de excesos;</w:t>
      </w:r>
    </w:p>
    <w:p w14:paraId="620BAFCD" w14:textId="72541C7F" w:rsidR="00CD04AC" w:rsidRDefault="00CD04AC" w:rsidP="00AC0130">
      <w:pPr>
        <w:spacing w:before="100" w:beforeAutospacing="1" w:after="100" w:afterAutospacing="1" w:line="360" w:lineRule="auto"/>
        <w:ind w:firstLine="708"/>
        <w:jc w:val="both"/>
        <w:rPr>
          <w:sz w:val="22"/>
          <w:szCs w:val="22"/>
          <w:lang w:val="es-AR" w:eastAsia="en-US"/>
        </w:rPr>
      </w:pPr>
      <w:r w:rsidRPr="00CD04AC">
        <w:rPr>
          <w:sz w:val="22"/>
          <w:szCs w:val="22"/>
          <w:lang w:val="es-AR" w:eastAsia="en-US"/>
        </w:rPr>
        <w:t>Que la omisión de dichos controles puede generar responsabilidad administrativa, patrimonial y eventualmente fiscal de los funcionarios encargados;</w:t>
      </w:r>
    </w:p>
    <w:p w14:paraId="756437E4" w14:textId="094AB586" w:rsidR="00CD04AC" w:rsidRPr="00CD04AC" w:rsidRDefault="008666DB" w:rsidP="00AC0130">
      <w:pPr>
        <w:spacing w:before="100" w:beforeAutospacing="1" w:after="100" w:afterAutospacing="1" w:line="360" w:lineRule="auto"/>
        <w:jc w:val="both"/>
        <w:outlineLvl w:val="2"/>
        <w:rPr>
          <w:b/>
          <w:bCs/>
          <w:sz w:val="22"/>
          <w:szCs w:val="22"/>
          <w:lang w:val="es-AR" w:eastAsia="en-US"/>
        </w:rPr>
      </w:pPr>
      <w:r>
        <w:rPr>
          <w:b/>
          <w:bCs/>
          <w:sz w:val="22"/>
          <w:szCs w:val="22"/>
          <w:lang w:val="es-AR" w:eastAsia="en-US"/>
        </w:rPr>
        <w:t>I</w:t>
      </w:r>
      <w:r w:rsidR="00CD04AC" w:rsidRPr="00CD04AC">
        <w:rPr>
          <w:b/>
          <w:bCs/>
          <w:sz w:val="22"/>
          <w:szCs w:val="22"/>
          <w:lang w:val="es-AR" w:eastAsia="en-US"/>
        </w:rPr>
        <w:t>V. RESPONSABILIDAD DE LOS FUNCIONARIOS MUNICIPALES</w:t>
      </w:r>
      <w:r w:rsidR="00F34703">
        <w:rPr>
          <w:b/>
          <w:bCs/>
          <w:sz w:val="22"/>
          <w:szCs w:val="22"/>
          <w:lang w:val="es-AR" w:eastAsia="en-US"/>
        </w:rPr>
        <w:t>.</w:t>
      </w:r>
    </w:p>
    <w:p w14:paraId="5D564886" w14:textId="77777777" w:rsidR="00F34703" w:rsidRDefault="00AC0130" w:rsidP="00AC0130">
      <w:pPr>
        <w:spacing w:before="100" w:beforeAutospacing="1" w:after="100" w:afterAutospacing="1" w:line="360" w:lineRule="auto"/>
        <w:ind w:firstLine="708"/>
        <w:jc w:val="both"/>
        <w:rPr>
          <w:sz w:val="22"/>
          <w:szCs w:val="22"/>
          <w:lang w:val="es-AR" w:eastAsia="en-US"/>
        </w:rPr>
      </w:pPr>
      <w:r w:rsidRPr="00AC0130">
        <w:rPr>
          <w:sz w:val="22"/>
          <w:szCs w:val="22"/>
          <w:lang w:val="es-AR" w:eastAsia="en-US"/>
        </w:rPr>
        <w:t>Que el artículo 241 del Decreto-Ley N° 6769/58 establece el principio de responsabilidad de los funcionarios municipales por todo acto que autoricen, ejecuten o dejen de ejecutar excediéndose en sus facultades o infringiendo sus deberes, distinguiendo entre actos de servicio —los ejecutados en obediencia a las leyes, ordenanzas y reglamentos, que no generan responsabilidad personal— y actos personales —los realizados en infracción a esas disposiciones, que sí comprometen la responsabilidad individual y patrimonial del funcionario—;</w:t>
      </w:r>
    </w:p>
    <w:p w14:paraId="6A6C4C83" w14:textId="23DFDE08" w:rsidR="00F34703" w:rsidRDefault="00F34703" w:rsidP="00AC0130">
      <w:pPr>
        <w:spacing w:before="100" w:beforeAutospacing="1" w:after="100" w:afterAutospacing="1" w:line="360" w:lineRule="auto"/>
        <w:ind w:firstLine="708"/>
        <w:jc w:val="both"/>
        <w:rPr>
          <w:sz w:val="22"/>
          <w:szCs w:val="22"/>
          <w:lang w:val="es-AR" w:eastAsia="en-US"/>
        </w:rPr>
      </w:pPr>
      <w:r>
        <w:rPr>
          <w:sz w:val="22"/>
          <w:szCs w:val="22"/>
          <w:lang w:val="es-AR" w:eastAsia="en-US"/>
        </w:rPr>
        <w:t xml:space="preserve">  </w:t>
      </w:r>
      <w:r w:rsidR="00AC0130" w:rsidRPr="00AC0130">
        <w:rPr>
          <w:sz w:val="22"/>
          <w:szCs w:val="22"/>
          <w:lang w:val="es-AR" w:eastAsia="en-US"/>
        </w:rPr>
        <w:t>Que, en consecuencia, ni la ejecución de un corte de calles expresamente desaprobado, ni la afectación de bienes municipales sin el comodato autorizado, ni la práctica de retenciones en exceso del tope legal, constituyen actos de servicio, pues ninguno fue cumplido en obediencia a una norma, sino en directa infracción a ellas; no pudiendo los funcionarios intervinientes ampararse válidamente en la invocación de una orden superior;</w:t>
      </w:r>
    </w:p>
    <w:p w14:paraId="052F122E" w14:textId="3CDA2F82" w:rsidR="00AC0130" w:rsidRPr="00AC0130" w:rsidRDefault="00F34703" w:rsidP="00AC0130">
      <w:pPr>
        <w:spacing w:before="100" w:beforeAutospacing="1" w:after="100" w:afterAutospacing="1" w:line="360" w:lineRule="auto"/>
        <w:ind w:firstLine="708"/>
        <w:jc w:val="both"/>
        <w:rPr>
          <w:sz w:val="22"/>
          <w:szCs w:val="22"/>
          <w:lang w:val="es-AR" w:eastAsia="en-US"/>
        </w:rPr>
      </w:pPr>
      <w:r>
        <w:rPr>
          <w:sz w:val="22"/>
          <w:szCs w:val="22"/>
          <w:lang w:val="es-AR" w:eastAsia="en-US"/>
        </w:rPr>
        <w:t xml:space="preserve"> </w:t>
      </w:r>
      <w:r w:rsidR="00AC0130" w:rsidRPr="00AC0130">
        <w:rPr>
          <w:sz w:val="22"/>
          <w:szCs w:val="22"/>
          <w:lang w:val="es-AR" w:eastAsia="en-US"/>
        </w:rPr>
        <w:t>Que los artículos 242, 243 y 244 del citado Decreto-Ley determinan que dicha responsabilidad asume las formas previstas en la ley, que su juzgamiento corresponde al Honorable Tribunal de Cuentas, y que todo acto de inversión o afectación de fondos y bienes públicos ejecutado al margen de las normas genera la responsabilidad solidaria de quienes lo dispusieron y ejecutaron;</w:t>
      </w:r>
    </w:p>
    <w:p w14:paraId="20C11FAA" w14:textId="77777777" w:rsidR="00CD04AC" w:rsidRPr="00CD04AC" w:rsidRDefault="00CD04AC" w:rsidP="00AC0130">
      <w:pPr>
        <w:spacing w:before="100" w:beforeAutospacing="1" w:after="100" w:afterAutospacing="1" w:line="360" w:lineRule="auto"/>
        <w:ind w:firstLine="708"/>
        <w:jc w:val="both"/>
        <w:rPr>
          <w:sz w:val="22"/>
          <w:szCs w:val="22"/>
          <w:lang w:val="es-AR" w:eastAsia="en-US"/>
        </w:rPr>
      </w:pPr>
      <w:r w:rsidRPr="00CD04AC">
        <w:rPr>
          <w:sz w:val="22"/>
          <w:szCs w:val="22"/>
          <w:lang w:val="es-AR" w:eastAsia="en-US"/>
        </w:rPr>
        <w:lastRenderedPageBreak/>
        <w:t>Que el artículo 241 del Decreto-Ley N° 6769/58 establece la responsabilidad de los funcionarios municipales por todo acto que autoricen, ejecuten o dejen de ejecutar excediendo sus facultades o infringiendo sus deberes;</w:t>
      </w:r>
    </w:p>
    <w:p w14:paraId="2BE87DB9" w14:textId="77777777" w:rsidR="00CD04AC" w:rsidRPr="00CD04AC" w:rsidRDefault="00CD04AC" w:rsidP="00AC0130">
      <w:pPr>
        <w:spacing w:before="100" w:beforeAutospacing="1" w:after="100" w:afterAutospacing="1" w:line="360" w:lineRule="auto"/>
        <w:ind w:firstLine="708"/>
        <w:jc w:val="both"/>
        <w:rPr>
          <w:sz w:val="22"/>
          <w:szCs w:val="22"/>
          <w:lang w:val="es-AR" w:eastAsia="en-US"/>
        </w:rPr>
      </w:pPr>
      <w:r w:rsidRPr="00CD04AC">
        <w:rPr>
          <w:sz w:val="22"/>
          <w:szCs w:val="22"/>
          <w:lang w:val="es-AR" w:eastAsia="en-US"/>
        </w:rPr>
        <w:t>Que dicha responsabilidad resulta aplicable cuando los actos administrativos no encuentran respaldo normativo suficiente o cuando se incumplen obligaciones impuestas por leyes u ordenanzas vigentes;</w:t>
      </w:r>
    </w:p>
    <w:p w14:paraId="5C776C4D" w14:textId="77777777" w:rsidR="00CD04AC" w:rsidRPr="00CD04AC" w:rsidRDefault="00CD04AC" w:rsidP="00AC0130">
      <w:pPr>
        <w:spacing w:before="100" w:beforeAutospacing="1" w:after="100" w:afterAutospacing="1" w:line="360" w:lineRule="auto"/>
        <w:ind w:firstLine="708"/>
        <w:jc w:val="both"/>
        <w:rPr>
          <w:sz w:val="22"/>
          <w:szCs w:val="22"/>
          <w:lang w:val="es-AR" w:eastAsia="en-US"/>
        </w:rPr>
      </w:pPr>
      <w:r w:rsidRPr="00CD04AC">
        <w:rPr>
          <w:sz w:val="22"/>
          <w:szCs w:val="22"/>
          <w:lang w:val="es-AR" w:eastAsia="en-US"/>
        </w:rPr>
        <w:t>Que la responsabilidad fiscal no se limita exclusivamente a quien firma el acto inicial, sino que alcanza a todos aquellos funcionarios que intervienen en la cadena decisoria, autorizan, ejecutan, omiten controles o permiten la continuidad de situaciones contrarias al ordenamiento jurídico;</w:t>
      </w:r>
    </w:p>
    <w:p w14:paraId="1527ED9A" w14:textId="7F879523" w:rsidR="00F34703" w:rsidRPr="00F34703" w:rsidRDefault="00F34703" w:rsidP="00F34703">
      <w:pPr>
        <w:spacing w:before="100" w:beforeAutospacing="1" w:after="100" w:afterAutospacing="1" w:line="360" w:lineRule="auto"/>
        <w:jc w:val="both"/>
        <w:outlineLvl w:val="2"/>
        <w:rPr>
          <w:b/>
          <w:bCs/>
          <w:sz w:val="22"/>
          <w:szCs w:val="22"/>
          <w:lang w:val="es-AR" w:eastAsia="en-US"/>
        </w:rPr>
      </w:pPr>
      <w:r>
        <w:rPr>
          <w:b/>
          <w:bCs/>
          <w:sz w:val="22"/>
          <w:szCs w:val="22"/>
          <w:lang w:val="es-AR" w:eastAsia="en-US"/>
        </w:rPr>
        <w:t>V.</w:t>
      </w:r>
      <w:r w:rsidRPr="00F34703">
        <w:rPr>
          <w:b/>
          <w:bCs/>
          <w:sz w:val="22"/>
          <w:szCs w:val="22"/>
          <w:lang w:val="es-AR" w:eastAsia="en-US"/>
        </w:rPr>
        <w:t>LA FUNCIÓN DE CONTROL DEL HONORABLE CONCEJO DELIBERANTE Y LA NECESARIA INTERVENCIÓN DEL ÓRGANO DE CONTROL EXTERNO.</w:t>
      </w:r>
    </w:p>
    <w:p w14:paraId="37D2D961" w14:textId="77777777" w:rsidR="00F34703" w:rsidRPr="00F34703" w:rsidRDefault="00F34703" w:rsidP="00F34703">
      <w:pPr>
        <w:spacing w:before="100" w:beforeAutospacing="1" w:after="100" w:afterAutospacing="1" w:line="360" w:lineRule="auto"/>
        <w:ind w:firstLine="708"/>
        <w:jc w:val="both"/>
        <w:rPr>
          <w:sz w:val="22"/>
          <w:szCs w:val="22"/>
          <w:lang w:val="es-AR" w:eastAsia="en-US"/>
        </w:rPr>
      </w:pPr>
      <w:r w:rsidRPr="00F34703">
        <w:rPr>
          <w:sz w:val="22"/>
          <w:szCs w:val="22"/>
          <w:lang w:val="es-AR" w:eastAsia="en-US"/>
        </w:rPr>
        <w:t>Que el sistema republicano de gobierno establecido por la Constitución Nacional y Provincial impone como principio esencial la división de funciones, el control recíproco entre órganos estatales y la obligación de que toda actuación administrativa se encuentre sometida al principio de legalidad;</w:t>
      </w:r>
    </w:p>
    <w:p w14:paraId="2EEA2D10" w14:textId="77777777" w:rsidR="00F34703" w:rsidRPr="00F34703" w:rsidRDefault="00F34703" w:rsidP="00F34703">
      <w:pPr>
        <w:spacing w:before="100" w:beforeAutospacing="1" w:after="100" w:afterAutospacing="1" w:line="360" w:lineRule="auto"/>
        <w:ind w:firstLine="708"/>
        <w:jc w:val="both"/>
        <w:rPr>
          <w:sz w:val="22"/>
          <w:szCs w:val="22"/>
          <w:lang w:val="es-AR" w:eastAsia="en-US"/>
        </w:rPr>
      </w:pPr>
      <w:r w:rsidRPr="00F34703">
        <w:rPr>
          <w:sz w:val="22"/>
          <w:szCs w:val="22"/>
          <w:lang w:val="es-AR" w:eastAsia="en-US"/>
        </w:rPr>
        <w:t>Que los municipios, en tanto personas jurídicas públicas estatales, administran recursos, bienes y fondos pertenecientes a la comunidad, encontrándose sus autoridades obligadas a ejercer sus competencias dentro de los límites establecidos por la Constitución, las leyes y las ordenanzas vigentes;</w:t>
      </w:r>
    </w:p>
    <w:p w14:paraId="68CF9BF2" w14:textId="77777777" w:rsidR="00F34703" w:rsidRPr="00F34703" w:rsidRDefault="00F34703" w:rsidP="00F34703">
      <w:pPr>
        <w:spacing w:before="100" w:beforeAutospacing="1" w:after="100" w:afterAutospacing="1" w:line="360" w:lineRule="auto"/>
        <w:ind w:firstLine="708"/>
        <w:jc w:val="both"/>
        <w:rPr>
          <w:sz w:val="22"/>
          <w:szCs w:val="22"/>
          <w:lang w:val="es-AR" w:eastAsia="en-US"/>
        </w:rPr>
      </w:pPr>
      <w:r w:rsidRPr="00F34703">
        <w:rPr>
          <w:sz w:val="22"/>
          <w:szCs w:val="22"/>
          <w:lang w:val="es-AR" w:eastAsia="en-US"/>
        </w:rPr>
        <w:t>Que el Honorable Concejo Deliberante constituye un órgano fundamental del gobierno municipal, con atribuciones de control político e institucional respecto de los actos del Departamento Ejecutivo, especialmente aquellos que comprometen el patrimonio público, la administración de bienes municipales y el cumplimiento de la normativa vigente;</w:t>
      </w:r>
    </w:p>
    <w:p w14:paraId="7F9E8AA5" w14:textId="77777777" w:rsidR="00F34703" w:rsidRPr="00F34703" w:rsidRDefault="00F34703" w:rsidP="00F34703">
      <w:pPr>
        <w:spacing w:before="100" w:beforeAutospacing="1" w:after="100" w:afterAutospacing="1" w:line="360" w:lineRule="auto"/>
        <w:ind w:firstLine="708"/>
        <w:jc w:val="both"/>
        <w:rPr>
          <w:sz w:val="22"/>
          <w:szCs w:val="22"/>
          <w:lang w:val="es-AR" w:eastAsia="en-US"/>
        </w:rPr>
      </w:pPr>
      <w:r w:rsidRPr="00F34703">
        <w:rPr>
          <w:sz w:val="22"/>
          <w:szCs w:val="22"/>
          <w:lang w:val="es-AR" w:eastAsia="en-US"/>
        </w:rPr>
        <w:t>Que cuando se advierte la existencia de actos administrativos presuntamente ejecutados al margen del orden jurídico aplicable, resulta obligación de este Cuerpo promover los mecanismos institucionales de control previstos por la legislación provincial;</w:t>
      </w:r>
    </w:p>
    <w:p w14:paraId="0039E630" w14:textId="77777777" w:rsidR="00F34703" w:rsidRPr="00F34703" w:rsidRDefault="00F34703" w:rsidP="00F34703">
      <w:pPr>
        <w:spacing w:before="100" w:beforeAutospacing="1" w:after="100" w:afterAutospacing="1" w:line="360" w:lineRule="auto"/>
        <w:ind w:firstLine="708"/>
        <w:jc w:val="both"/>
        <w:rPr>
          <w:sz w:val="22"/>
          <w:szCs w:val="22"/>
          <w:lang w:val="es-AR" w:eastAsia="en-US"/>
        </w:rPr>
      </w:pPr>
      <w:r w:rsidRPr="00F34703">
        <w:rPr>
          <w:sz w:val="22"/>
          <w:szCs w:val="22"/>
          <w:lang w:val="es-AR" w:eastAsia="en-US"/>
        </w:rPr>
        <w:t xml:space="preserve">Que la intervención del Honorable Tribunal de Cuentas no constituye una intromisión sobre cuestiones de oportunidad, mérito o conveniencia administrativa, sino el ejercicio del control </w:t>
      </w:r>
      <w:r w:rsidRPr="00F34703">
        <w:rPr>
          <w:sz w:val="22"/>
          <w:szCs w:val="22"/>
          <w:lang w:val="es-AR" w:eastAsia="en-US"/>
        </w:rPr>
        <w:lastRenderedPageBreak/>
        <w:t>constitucionalmente asignado sobre la legalidad, regularidad y responsabilidad patrimonial derivada de la administración de fondos y bienes públicos;</w:t>
      </w:r>
    </w:p>
    <w:p w14:paraId="40C44F48" w14:textId="77777777" w:rsidR="00F34703" w:rsidRDefault="00AC0130" w:rsidP="00AC0130">
      <w:pPr>
        <w:spacing w:before="100" w:beforeAutospacing="1" w:after="100" w:afterAutospacing="1" w:line="360" w:lineRule="auto"/>
        <w:ind w:firstLine="708"/>
        <w:jc w:val="both"/>
        <w:rPr>
          <w:sz w:val="22"/>
          <w:szCs w:val="22"/>
          <w:lang w:val="es-AR" w:eastAsia="en-US"/>
        </w:rPr>
      </w:pPr>
      <w:r w:rsidRPr="00AC0130">
        <w:rPr>
          <w:sz w:val="22"/>
          <w:szCs w:val="22"/>
          <w:lang w:val="es-AR" w:eastAsia="en-US"/>
        </w:rPr>
        <w:t>Que el artículo 159 de la Constitución de la Provincia de Buenos Aires atribuye al Honorable Tribunal de Cuentas, en su inciso 1°, examinar las cuentas de percepción e inversión de las rentas públicas provinciales y municipales, aprobarlas o desaprobarlas, y en este último caso indicar el funcionario o funcionarios responsables, así como el monto y la causa de los alcances respectivos; y, en su inciso 2°, inspeccionar las oficinas provinciales o municipales que administren fondos públicos y tomar las medidas necesarias para prevenir cualquier irregularidad;</w:t>
      </w:r>
    </w:p>
    <w:p w14:paraId="50BEA228" w14:textId="298293A6" w:rsidR="00F34703" w:rsidRDefault="00F34703" w:rsidP="00AC0130">
      <w:pPr>
        <w:spacing w:before="100" w:beforeAutospacing="1" w:after="100" w:afterAutospacing="1" w:line="360" w:lineRule="auto"/>
        <w:ind w:firstLine="708"/>
        <w:jc w:val="both"/>
        <w:rPr>
          <w:sz w:val="22"/>
          <w:szCs w:val="22"/>
          <w:lang w:val="es-AR" w:eastAsia="en-US"/>
        </w:rPr>
      </w:pPr>
      <w:r>
        <w:rPr>
          <w:sz w:val="22"/>
          <w:szCs w:val="22"/>
          <w:lang w:val="es-AR" w:eastAsia="en-US"/>
        </w:rPr>
        <w:t xml:space="preserve"> </w:t>
      </w:r>
      <w:r w:rsidR="00AC0130" w:rsidRPr="00AC0130">
        <w:rPr>
          <w:sz w:val="22"/>
          <w:szCs w:val="22"/>
          <w:lang w:val="es-AR" w:eastAsia="en-US"/>
        </w:rPr>
        <w:t>Que el artículo 1° de la Ley N° 10.869 lo define como órgano de control con funciones jurisdiccionales, y su artículo 16 prevé las sanciones aplicables a los responsables —llamado de atención, amonestaciones, cargos pecuniarios y multas—, cuya ejecución, en caso de no ser satisfechas, corresponde al Fiscal de Estado;</w:t>
      </w:r>
    </w:p>
    <w:p w14:paraId="0572A331" w14:textId="7677F3DF" w:rsidR="008666DB" w:rsidRDefault="00F34703" w:rsidP="00AC0130">
      <w:pPr>
        <w:spacing w:before="100" w:beforeAutospacing="1" w:after="100" w:afterAutospacing="1" w:line="360" w:lineRule="auto"/>
        <w:ind w:firstLine="708"/>
        <w:jc w:val="both"/>
        <w:rPr>
          <w:sz w:val="22"/>
          <w:szCs w:val="22"/>
          <w:lang w:val="es-AR" w:eastAsia="en-US"/>
        </w:rPr>
      </w:pPr>
      <w:r>
        <w:rPr>
          <w:sz w:val="22"/>
          <w:szCs w:val="22"/>
          <w:lang w:val="es-AR" w:eastAsia="en-US"/>
        </w:rPr>
        <w:t xml:space="preserve">  </w:t>
      </w:r>
      <w:r w:rsidR="00AC0130" w:rsidRPr="00AC0130">
        <w:rPr>
          <w:sz w:val="22"/>
          <w:szCs w:val="22"/>
          <w:lang w:val="es-AR" w:eastAsia="en-US"/>
        </w:rPr>
        <w:t xml:space="preserve">Que el Honorable Tribunal de Cuentas ha habilitado un Canal de Denuncias mediante el cual cualquier persona puede poner en su conocimiento hechos, actos u omisiones relativos a posibles daños fiscales, al incumplimiento de las normas aplicables a las funciones administrativas, a conductas contrarias a las buenas prácticas de administración gubernamental y a la utilización inadecuada de los recursos públicos; supuestos en los que encuadran de modo directo los hechos descriptos en los considerandos </w:t>
      </w:r>
      <w:r w:rsidR="008666DB">
        <w:rPr>
          <w:sz w:val="22"/>
          <w:szCs w:val="22"/>
          <w:lang w:val="es-AR" w:eastAsia="en-US"/>
        </w:rPr>
        <w:t>referidos ut supra</w:t>
      </w:r>
      <w:r w:rsidR="00AC0130" w:rsidRPr="00AC0130">
        <w:rPr>
          <w:sz w:val="22"/>
          <w:szCs w:val="22"/>
          <w:lang w:val="es-AR" w:eastAsia="en-US"/>
        </w:rPr>
        <w:t>;</w:t>
      </w:r>
    </w:p>
    <w:p w14:paraId="1329CD55" w14:textId="2E0358F2" w:rsidR="008666DB" w:rsidRDefault="008666DB" w:rsidP="00AC0130">
      <w:pPr>
        <w:spacing w:before="100" w:beforeAutospacing="1" w:after="100" w:afterAutospacing="1" w:line="360" w:lineRule="auto"/>
        <w:ind w:firstLine="708"/>
        <w:jc w:val="both"/>
        <w:rPr>
          <w:sz w:val="22"/>
          <w:szCs w:val="22"/>
          <w:lang w:val="es-AR" w:eastAsia="en-US"/>
        </w:rPr>
      </w:pPr>
      <w:r>
        <w:rPr>
          <w:sz w:val="22"/>
          <w:szCs w:val="22"/>
          <w:lang w:val="es-AR" w:eastAsia="en-US"/>
        </w:rPr>
        <w:t xml:space="preserve">    </w:t>
      </w:r>
      <w:r w:rsidR="00AC0130" w:rsidRPr="00AC0130">
        <w:rPr>
          <w:sz w:val="22"/>
          <w:szCs w:val="22"/>
          <w:lang w:val="es-AR" w:eastAsia="en-US"/>
        </w:rPr>
        <w:t>Que esta vía permite requerir la intervención puntual del Organismo sin necesidad de aguardar el cierre del estudio de la cuenta del ejercicio, pudiendo derivarse las actuaciones —de resultar admisibles— al estudio de la cuenta o a la instrucción del sumario administrativo correspondiente;</w:t>
      </w:r>
      <w:r w:rsidR="00AC0130" w:rsidRPr="00AC0130">
        <w:rPr>
          <w:sz w:val="22"/>
          <w:szCs w:val="22"/>
          <w:lang w:val="es-AR" w:eastAsia="en-US"/>
        </w:rPr>
        <w:br/>
      </w:r>
      <w:r>
        <w:rPr>
          <w:sz w:val="22"/>
          <w:szCs w:val="22"/>
          <w:lang w:val="es-AR" w:eastAsia="en-US"/>
        </w:rPr>
        <w:t xml:space="preserve">               </w:t>
      </w:r>
      <w:r w:rsidR="00AC0130" w:rsidRPr="00AC0130">
        <w:rPr>
          <w:sz w:val="22"/>
          <w:szCs w:val="22"/>
          <w:lang w:val="es-AR" w:eastAsia="en-US"/>
        </w:rPr>
        <w:t>Que el presente requerimiento no versa sobre cuestiones de mérito, oportunidad o conveniencia —excluidas del control por el artículo 42 de la Ley N° 10.869—, sino sobre la legalidad de actos consumados en infracción a decisiones vigentes de este Cuerpo y a las normas que rigen la administración de los recursos y bienes municipales;</w:t>
      </w:r>
    </w:p>
    <w:p w14:paraId="63F3C9DE" w14:textId="3DE58012" w:rsidR="00AC0130" w:rsidRPr="00AC0130" w:rsidRDefault="008666DB" w:rsidP="00AC0130">
      <w:pPr>
        <w:spacing w:before="100" w:beforeAutospacing="1" w:after="100" w:afterAutospacing="1" w:line="360" w:lineRule="auto"/>
        <w:ind w:firstLine="708"/>
        <w:jc w:val="both"/>
        <w:rPr>
          <w:sz w:val="22"/>
          <w:szCs w:val="22"/>
          <w:lang w:val="es-AR" w:eastAsia="en-US"/>
        </w:rPr>
      </w:pPr>
      <w:r>
        <w:rPr>
          <w:sz w:val="22"/>
          <w:szCs w:val="22"/>
          <w:lang w:val="es-AR" w:eastAsia="en-US"/>
        </w:rPr>
        <w:t xml:space="preserve"> </w:t>
      </w:r>
      <w:r w:rsidR="00AC0130" w:rsidRPr="00AC0130">
        <w:rPr>
          <w:sz w:val="22"/>
          <w:szCs w:val="22"/>
          <w:lang w:val="es-AR" w:eastAsia="en-US"/>
        </w:rPr>
        <w:t>Que el Honorable Tribunal de Cuentas conserva sus facultades de investigación y juzgamiento con independencia de la finalización de los mandatos de los funcionarios involucrados;</w:t>
      </w:r>
      <w:r w:rsidR="00AC0130" w:rsidRPr="00AC0130">
        <w:rPr>
          <w:sz w:val="22"/>
          <w:szCs w:val="22"/>
          <w:lang w:val="es-AR" w:eastAsia="en-US"/>
        </w:rPr>
        <w:br/>
        <w:t>Que la presente se enmarca en las atribuciones de control y fiscalización propias de este Honorable Concejo Deliberante;</w:t>
      </w:r>
    </w:p>
    <w:p w14:paraId="7A7CB9D9" w14:textId="77777777" w:rsidR="00CD04AC" w:rsidRPr="00CD04AC" w:rsidRDefault="00CD04AC" w:rsidP="00AC0130">
      <w:pPr>
        <w:spacing w:before="100" w:beforeAutospacing="1" w:after="100" w:afterAutospacing="1" w:line="360" w:lineRule="auto"/>
        <w:ind w:firstLine="708"/>
        <w:jc w:val="both"/>
        <w:rPr>
          <w:sz w:val="22"/>
          <w:szCs w:val="22"/>
          <w:lang w:val="es-AR" w:eastAsia="en-US"/>
        </w:rPr>
      </w:pPr>
      <w:r w:rsidRPr="00CD04AC">
        <w:rPr>
          <w:sz w:val="22"/>
          <w:szCs w:val="22"/>
          <w:lang w:val="es-AR" w:eastAsia="en-US"/>
        </w:rPr>
        <w:lastRenderedPageBreak/>
        <w:t>Que asimismo posee facultades de inspección, fiscalización y adopción de medidas tendientes a prevenir irregularidades en la administración de fondos públicos;</w:t>
      </w:r>
    </w:p>
    <w:p w14:paraId="05AC4804" w14:textId="77777777" w:rsidR="00CD04AC" w:rsidRPr="00CD04AC" w:rsidRDefault="00CD04AC" w:rsidP="00AC0130">
      <w:pPr>
        <w:spacing w:before="100" w:beforeAutospacing="1" w:after="100" w:afterAutospacing="1" w:line="360" w:lineRule="auto"/>
        <w:ind w:firstLine="708"/>
        <w:jc w:val="both"/>
        <w:rPr>
          <w:sz w:val="22"/>
          <w:szCs w:val="22"/>
          <w:lang w:val="es-AR" w:eastAsia="en-US"/>
        </w:rPr>
      </w:pPr>
      <w:r w:rsidRPr="00CD04AC">
        <w:rPr>
          <w:sz w:val="22"/>
          <w:szCs w:val="22"/>
          <w:lang w:val="es-AR" w:eastAsia="en-US"/>
        </w:rPr>
        <w:t>Que los hechos descriptos configuran, prima facie, situaciones que exceden el control político local y requieren la evaluación técnica del organismo constitucional especializado;</w:t>
      </w:r>
    </w:p>
    <w:p w14:paraId="3D536EDC" w14:textId="77777777" w:rsidR="00CD04AC" w:rsidRPr="00CD04AC" w:rsidRDefault="00CD04AC" w:rsidP="00AC0130">
      <w:pPr>
        <w:spacing w:before="100" w:beforeAutospacing="1" w:after="100" w:afterAutospacing="1" w:line="360" w:lineRule="auto"/>
        <w:ind w:firstLine="708"/>
        <w:jc w:val="both"/>
        <w:rPr>
          <w:sz w:val="22"/>
          <w:szCs w:val="22"/>
          <w:lang w:val="es-AR" w:eastAsia="en-US"/>
        </w:rPr>
      </w:pPr>
      <w:r w:rsidRPr="00CD04AC">
        <w:rPr>
          <w:sz w:val="22"/>
          <w:szCs w:val="22"/>
          <w:lang w:val="es-AR" w:eastAsia="en-US"/>
        </w:rPr>
        <w:t>Que corresponde poner los hechos en conocimiento del Honorable Tribunal de Cuentas para que, dentro de sus competencias, determine la existencia de perjuicio fiscal, individualice responsables y adopte las medidas que estime corresponder;</w:t>
      </w:r>
    </w:p>
    <w:p w14:paraId="645CF164" w14:textId="236F8D43" w:rsidR="0085134E" w:rsidRPr="00AC0130" w:rsidRDefault="00466B30" w:rsidP="00AC0130">
      <w:pPr>
        <w:spacing w:line="360" w:lineRule="auto"/>
        <w:ind w:firstLine="708"/>
        <w:jc w:val="both"/>
        <w:rPr>
          <w:bCs/>
          <w:sz w:val="22"/>
          <w:szCs w:val="22"/>
        </w:rPr>
      </w:pPr>
      <w:r w:rsidRPr="00AC0130">
        <w:rPr>
          <w:bCs/>
          <w:sz w:val="22"/>
          <w:szCs w:val="22"/>
        </w:rPr>
        <w:t xml:space="preserve">Por ello, </w:t>
      </w:r>
      <w:r w:rsidRPr="00AC0130">
        <w:rPr>
          <w:b/>
          <w:bCs/>
          <w:sz w:val="22"/>
          <w:szCs w:val="22"/>
        </w:rPr>
        <w:t xml:space="preserve">los Bloques POTENCIA, y GEN </w:t>
      </w:r>
      <w:r w:rsidRPr="00AC0130">
        <w:rPr>
          <w:bCs/>
          <w:sz w:val="22"/>
          <w:szCs w:val="22"/>
        </w:rPr>
        <w:t>en atribución a sus facultades que le confiere la Ley Orgánica de las Municipalidades, proponen el siguiente:</w:t>
      </w:r>
    </w:p>
    <w:p w14:paraId="5CA56C88" w14:textId="77777777" w:rsidR="0085134E" w:rsidRPr="00AC0130" w:rsidRDefault="0085134E" w:rsidP="00AC0130">
      <w:pPr>
        <w:spacing w:line="360" w:lineRule="auto"/>
        <w:jc w:val="both"/>
        <w:rPr>
          <w:bCs/>
          <w:sz w:val="22"/>
          <w:szCs w:val="22"/>
        </w:rPr>
      </w:pPr>
    </w:p>
    <w:p w14:paraId="51418A20" w14:textId="16DF36BA" w:rsidR="0085134E" w:rsidRPr="00AC0130" w:rsidRDefault="0085134E" w:rsidP="00AC0130">
      <w:pPr>
        <w:spacing w:line="360" w:lineRule="auto"/>
        <w:jc w:val="center"/>
        <w:rPr>
          <w:b/>
          <w:bCs/>
          <w:sz w:val="22"/>
          <w:szCs w:val="22"/>
          <w:u w:val="single"/>
        </w:rPr>
      </w:pPr>
      <w:r w:rsidRPr="00AC0130">
        <w:rPr>
          <w:b/>
          <w:bCs/>
          <w:sz w:val="22"/>
          <w:szCs w:val="22"/>
          <w:u w:val="single"/>
        </w:rPr>
        <w:t>PROYECTO DE COMUNICACIÓN:</w:t>
      </w:r>
    </w:p>
    <w:p w14:paraId="0955F9F0" w14:textId="32E0D429" w:rsidR="008666DB" w:rsidRPr="004151FE" w:rsidRDefault="008666DB" w:rsidP="00AC0130">
      <w:pPr>
        <w:pStyle w:val="isselectedend"/>
        <w:spacing w:line="360" w:lineRule="auto"/>
        <w:jc w:val="both"/>
        <w:rPr>
          <w:bCs/>
          <w:sz w:val="22"/>
          <w:szCs w:val="22"/>
          <w:lang w:val="es-AR" w:eastAsia="es-ES"/>
        </w:rPr>
      </w:pPr>
      <w:r w:rsidRPr="008666DB">
        <w:rPr>
          <w:b/>
          <w:bCs/>
          <w:sz w:val="22"/>
          <w:szCs w:val="22"/>
          <w:lang w:val="es-ES" w:eastAsia="es-ES"/>
        </w:rPr>
        <w:t>ARTICULO 1°:</w:t>
      </w:r>
      <w:r>
        <w:rPr>
          <w:bCs/>
          <w:sz w:val="22"/>
          <w:szCs w:val="22"/>
          <w:lang w:val="es-ES" w:eastAsia="es-ES"/>
        </w:rPr>
        <w:t xml:space="preserve"> </w:t>
      </w:r>
      <w:proofErr w:type="spellStart"/>
      <w:r w:rsidR="00091D7C">
        <w:rPr>
          <w:lang w:val="es-AR"/>
        </w:rPr>
        <w:t>Requierase</w:t>
      </w:r>
      <w:proofErr w:type="spellEnd"/>
      <w:r w:rsidR="00091D7C">
        <w:rPr>
          <w:lang w:val="es-AR"/>
        </w:rPr>
        <w:t xml:space="preserve"> intervención d</w:t>
      </w:r>
      <w:r w:rsidR="004151FE" w:rsidRPr="004151FE">
        <w:rPr>
          <w:lang w:val="es-AR"/>
        </w:rPr>
        <w:t>el Honorable Tribunal de Cuentas de la Provincia de Buenos Aires, poniéndose en su conocimiento los hechos descriptos en los considerandos de la presente y remitiéndose los antecedentes correspondientes, a fin de que, dentro de la esfera de sus competencias constitucionales y legales, evalúe la procedencia de las actuaciones que estime pertinentes, incluyendo el estudio de la cuenta del ejercicio 2026 y/o la instrucción del procedimiento que corresponda, e individualice, en su caso, a los funcionarios responsables, así como el monto y la causa de los alcances respectivos, conforme lo dispuesto por el artículo 159 inciso 1° de la Constitución de la Provincia de Buenos Aires.</w:t>
      </w:r>
    </w:p>
    <w:p w14:paraId="66E7E02B" w14:textId="019FF47A" w:rsidR="008666DB" w:rsidRPr="00F1736D" w:rsidRDefault="00AC0130" w:rsidP="009F1587">
      <w:pPr>
        <w:pStyle w:val="isselectedend"/>
        <w:spacing w:line="360" w:lineRule="auto"/>
        <w:jc w:val="both"/>
        <w:rPr>
          <w:bCs/>
          <w:sz w:val="22"/>
          <w:szCs w:val="22"/>
          <w:lang w:val="es-AR"/>
        </w:rPr>
      </w:pPr>
      <w:r w:rsidRPr="00AC0130">
        <w:rPr>
          <w:b/>
          <w:bCs/>
          <w:sz w:val="22"/>
          <w:szCs w:val="22"/>
          <w:lang w:val="es-AR"/>
        </w:rPr>
        <w:t>ARTÍCULO 2</w:t>
      </w:r>
      <w:r w:rsidR="00F1736D" w:rsidRPr="00AC0130">
        <w:rPr>
          <w:b/>
          <w:bCs/>
          <w:sz w:val="22"/>
          <w:szCs w:val="22"/>
          <w:lang w:val="es-AR"/>
        </w:rPr>
        <w:t>°. -</w:t>
      </w:r>
      <w:r w:rsidRPr="00AC0130">
        <w:rPr>
          <w:b/>
          <w:bCs/>
          <w:sz w:val="22"/>
          <w:szCs w:val="22"/>
          <w:lang w:val="es-AR"/>
        </w:rPr>
        <w:t xml:space="preserve"> </w:t>
      </w:r>
      <w:r w:rsidRPr="008666DB">
        <w:rPr>
          <w:bCs/>
          <w:sz w:val="22"/>
          <w:szCs w:val="22"/>
          <w:lang w:val="es-AR"/>
        </w:rPr>
        <w:t>Respecto del corte de calles ejecutado pese a la desaprobación de los expedientes N° 6127/O y N° 6128/O (considerando I.A</w:t>
      </w:r>
      <w:r w:rsidRPr="00F1736D">
        <w:rPr>
          <w:bCs/>
          <w:sz w:val="22"/>
          <w:szCs w:val="22"/>
          <w:lang w:val="es-AR"/>
        </w:rPr>
        <w:t xml:space="preserve">), </w:t>
      </w:r>
      <w:r w:rsidR="009F1587" w:rsidRPr="00F1736D">
        <w:rPr>
          <w:bCs/>
          <w:sz w:val="22"/>
          <w:szCs w:val="22"/>
          <w:lang w:val="es-AR"/>
        </w:rPr>
        <w:t xml:space="preserve">solicitase que se determine la eventual responsabilidad de los funcionarios que hubieren intervenido en los hechos </w:t>
      </w:r>
      <w:r w:rsidR="00F1736D" w:rsidRPr="00F1736D">
        <w:rPr>
          <w:bCs/>
          <w:sz w:val="22"/>
          <w:szCs w:val="22"/>
          <w:lang w:val="es-AR"/>
        </w:rPr>
        <w:t>descriptos. -</w:t>
      </w:r>
      <w:r w:rsidR="009F1587" w:rsidRPr="00F1736D">
        <w:rPr>
          <w:lang w:val="es-AR"/>
        </w:rPr>
        <w:t xml:space="preserve"> </w:t>
      </w:r>
    </w:p>
    <w:p w14:paraId="7D7B8DF0" w14:textId="797ACC7E" w:rsidR="00626818" w:rsidRPr="00626818" w:rsidRDefault="00AC0130" w:rsidP="00AC0130">
      <w:pPr>
        <w:pStyle w:val="isselectedend"/>
        <w:spacing w:line="360" w:lineRule="auto"/>
        <w:jc w:val="both"/>
        <w:rPr>
          <w:bCs/>
          <w:sz w:val="22"/>
          <w:szCs w:val="22"/>
          <w:lang w:val="es-AR"/>
        </w:rPr>
      </w:pPr>
      <w:r w:rsidRPr="00AC0130">
        <w:rPr>
          <w:b/>
          <w:bCs/>
          <w:sz w:val="22"/>
          <w:szCs w:val="22"/>
          <w:lang w:val="es-AR"/>
        </w:rPr>
        <w:t>ARTÍCULO 3</w:t>
      </w:r>
      <w:proofErr w:type="gramStart"/>
      <w:r w:rsidRPr="00AC0130">
        <w:rPr>
          <w:b/>
          <w:bCs/>
          <w:sz w:val="22"/>
          <w:szCs w:val="22"/>
          <w:lang w:val="es-AR"/>
        </w:rPr>
        <w:t>°.-</w:t>
      </w:r>
      <w:proofErr w:type="gramEnd"/>
      <w:r w:rsidRPr="00AC0130">
        <w:rPr>
          <w:b/>
          <w:bCs/>
          <w:sz w:val="22"/>
          <w:szCs w:val="22"/>
          <w:lang w:val="es-AR"/>
        </w:rPr>
        <w:t xml:space="preserve"> </w:t>
      </w:r>
      <w:r w:rsidR="00626818" w:rsidRPr="00626818">
        <w:rPr>
          <w:lang w:val="es-AR"/>
        </w:rPr>
        <w:t>Respecto de la afectación en uso de bienes municipales en favor de un tercero sin el comodato autorizado por este Cuerpo (considerando I.B</w:t>
      </w:r>
      <w:r w:rsidR="00626818" w:rsidRPr="00F1736D">
        <w:rPr>
          <w:lang w:val="es-AR"/>
        </w:rPr>
        <w:t xml:space="preserve">), </w:t>
      </w:r>
      <w:proofErr w:type="spellStart"/>
      <w:r w:rsidR="00626818" w:rsidRPr="00F1736D">
        <w:rPr>
          <w:lang w:val="es-AR"/>
        </w:rPr>
        <w:t>solicítase</w:t>
      </w:r>
      <w:proofErr w:type="spellEnd"/>
      <w:r w:rsidR="00626818" w:rsidRPr="00F1736D">
        <w:rPr>
          <w:lang w:val="es-AR"/>
        </w:rPr>
        <w:t xml:space="preserve"> al Honorable Tribunal de Cuentas que determine la eventual responsabilidad de </w:t>
      </w:r>
      <w:r w:rsidR="00626818" w:rsidRPr="00626818">
        <w:rPr>
          <w:lang w:val="es-AR"/>
        </w:rPr>
        <w:t>los funcionarios que hubieren intervenido en los hechos descriptos, incluyendo aquellos con competencia en la administración, disposición, registración y control de los bienes municipales involucrados.</w:t>
      </w:r>
    </w:p>
    <w:p w14:paraId="7EA5CCD2" w14:textId="4AD9B22D" w:rsidR="00CC1C98" w:rsidRPr="00CC1C98" w:rsidRDefault="00AC0130" w:rsidP="00AC0130">
      <w:pPr>
        <w:pStyle w:val="isselectedend"/>
        <w:spacing w:line="360" w:lineRule="auto"/>
        <w:jc w:val="both"/>
        <w:rPr>
          <w:bCs/>
          <w:sz w:val="22"/>
          <w:szCs w:val="22"/>
          <w:lang w:val="es-AR"/>
        </w:rPr>
      </w:pPr>
      <w:r w:rsidRPr="00AC0130">
        <w:rPr>
          <w:b/>
          <w:bCs/>
          <w:sz w:val="22"/>
          <w:szCs w:val="22"/>
          <w:lang w:val="es-AR"/>
        </w:rPr>
        <w:lastRenderedPageBreak/>
        <w:t>ARTÍCULO 4</w:t>
      </w:r>
      <w:proofErr w:type="gramStart"/>
      <w:r w:rsidRPr="00AC0130">
        <w:rPr>
          <w:b/>
          <w:bCs/>
          <w:sz w:val="22"/>
          <w:szCs w:val="22"/>
          <w:lang w:val="es-AR"/>
        </w:rPr>
        <w:t>°.-</w:t>
      </w:r>
      <w:proofErr w:type="gramEnd"/>
      <w:r w:rsidRPr="008666DB">
        <w:rPr>
          <w:bCs/>
          <w:sz w:val="22"/>
          <w:szCs w:val="22"/>
          <w:lang w:val="es-AR"/>
        </w:rPr>
        <w:t xml:space="preserve"> </w:t>
      </w:r>
      <w:r w:rsidR="00CC1C98" w:rsidRPr="00CC1C98">
        <w:rPr>
          <w:lang w:val="es-AR"/>
        </w:rPr>
        <w:t>Respecto del incumplimiento de la Ordenanza N° 3030 (considerando III),</w:t>
      </w:r>
      <w:r w:rsidR="00F1736D">
        <w:rPr>
          <w:lang w:val="es-AR"/>
        </w:rPr>
        <w:t xml:space="preserve"> </w:t>
      </w:r>
      <w:r w:rsidR="00CC1C98" w:rsidRPr="00CC1C98">
        <w:rPr>
          <w:lang w:val="es-AR"/>
        </w:rPr>
        <w:t>requiérase al Honorable Tribunal de Cuentas que investigue la eventual responsabilidad de la autoridad de aplicación del sistema y de los integrantes municipales del Comité Supervisor creado por el artículo 15° de dicha ordenanza —Subsecretario de Hacienda y Jefe de Personal—, en los términos de sus artículos 3°, 4°, 5° y 12°.</w:t>
      </w:r>
    </w:p>
    <w:p w14:paraId="284F1820" w14:textId="77777777" w:rsidR="00F1736D" w:rsidRDefault="00AC0130" w:rsidP="00AC0130">
      <w:pPr>
        <w:pStyle w:val="isselectedend"/>
        <w:spacing w:line="360" w:lineRule="auto"/>
        <w:jc w:val="both"/>
        <w:rPr>
          <w:bCs/>
          <w:sz w:val="22"/>
          <w:szCs w:val="22"/>
          <w:lang w:val="es-AR"/>
        </w:rPr>
      </w:pPr>
      <w:r w:rsidRPr="00AC0130">
        <w:rPr>
          <w:b/>
          <w:bCs/>
          <w:sz w:val="22"/>
          <w:szCs w:val="22"/>
          <w:lang w:val="es-AR"/>
        </w:rPr>
        <w:t>ARTÍCULO 5</w:t>
      </w:r>
      <w:proofErr w:type="gramStart"/>
      <w:r w:rsidRPr="00AC0130">
        <w:rPr>
          <w:b/>
          <w:bCs/>
          <w:sz w:val="22"/>
          <w:szCs w:val="22"/>
          <w:lang w:val="es-AR"/>
        </w:rPr>
        <w:t>°.-</w:t>
      </w:r>
      <w:proofErr w:type="gramEnd"/>
      <w:r w:rsidRPr="00AC0130">
        <w:rPr>
          <w:b/>
          <w:bCs/>
          <w:sz w:val="22"/>
          <w:szCs w:val="22"/>
          <w:lang w:val="es-AR"/>
        </w:rPr>
        <w:t xml:space="preserve"> </w:t>
      </w:r>
      <w:r w:rsidR="00CC1C98" w:rsidRPr="008666DB">
        <w:rPr>
          <w:bCs/>
          <w:sz w:val="22"/>
          <w:szCs w:val="22"/>
          <w:lang w:val="es-AR"/>
        </w:rPr>
        <w:t>Solicitase</w:t>
      </w:r>
      <w:r w:rsidRPr="008666DB">
        <w:rPr>
          <w:bCs/>
          <w:sz w:val="22"/>
          <w:szCs w:val="22"/>
          <w:lang w:val="es-AR"/>
        </w:rPr>
        <w:t xml:space="preserve"> al Honorable Tribunal de Cuentas que, en su análisis, pondere la normativa municipal aplicable y los artículos 241 a 244 del Decreto-Ley N° 6769/58, e individualice la totalidad de los responsables a lo largo de cada cadena de decisión y ejecución.</w:t>
      </w:r>
    </w:p>
    <w:p w14:paraId="4B5AD39A" w14:textId="1C95579E" w:rsidR="008666DB" w:rsidRPr="00626818" w:rsidRDefault="00AC0130" w:rsidP="00AC0130">
      <w:pPr>
        <w:pStyle w:val="isselectedend"/>
        <w:spacing w:line="360" w:lineRule="auto"/>
        <w:jc w:val="both"/>
        <w:rPr>
          <w:b/>
          <w:bCs/>
          <w:sz w:val="22"/>
          <w:szCs w:val="22"/>
          <w:lang w:val="es-AR"/>
        </w:rPr>
      </w:pPr>
      <w:r w:rsidRPr="00AC0130">
        <w:rPr>
          <w:b/>
          <w:bCs/>
          <w:sz w:val="22"/>
          <w:szCs w:val="22"/>
          <w:lang w:val="es-AR"/>
        </w:rPr>
        <w:br/>
        <w:t xml:space="preserve">ARTÍCULO 6°.- </w:t>
      </w:r>
      <w:proofErr w:type="spellStart"/>
      <w:r w:rsidR="00626818" w:rsidRPr="00626818">
        <w:rPr>
          <w:lang w:val="es-AR"/>
        </w:rPr>
        <w:t>Encomiéndase</w:t>
      </w:r>
      <w:proofErr w:type="spellEnd"/>
      <w:r w:rsidR="00626818" w:rsidRPr="00626818">
        <w:rPr>
          <w:lang w:val="es-AR"/>
        </w:rPr>
        <w:t xml:space="preserve"> a la Presidencia del Honorable Concejo Deliberante la remisión de la presente y de toda la documentación respaldatoria al Honorable Tribunal de Cuentas</w:t>
      </w:r>
      <w:r w:rsidR="00626818">
        <w:rPr>
          <w:lang w:val="es-AR"/>
        </w:rPr>
        <w:t xml:space="preserve"> </w:t>
      </w:r>
      <w:r w:rsidRPr="008666DB">
        <w:rPr>
          <w:bCs/>
          <w:sz w:val="22"/>
          <w:szCs w:val="22"/>
          <w:lang w:val="es-AR"/>
        </w:rPr>
        <w:t>con los recaudos formales exigidos: presentación dirigida al Señor Presidente del Organismo, debidamente firmada, con indicación del ente (Municipalidad de Chascomús), ejercicio (2026), personas involucradas, relación de los hechos con las circunstancias de lugar, tiempo y modo (artículo 83 del Decreto-Ley N° 7647/70) y la documentación respaldatoria.</w:t>
      </w:r>
    </w:p>
    <w:p w14:paraId="0C4DB5F8" w14:textId="7D9EA087" w:rsidR="00A358BB" w:rsidRPr="00AC0130" w:rsidRDefault="00AC0130" w:rsidP="00AC0130">
      <w:pPr>
        <w:pStyle w:val="isselectedend"/>
        <w:spacing w:line="360" w:lineRule="auto"/>
        <w:jc w:val="both"/>
        <w:rPr>
          <w:b/>
          <w:bCs/>
          <w:sz w:val="22"/>
          <w:szCs w:val="22"/>
          <w:lang w:val="es-AR"/>
        </w:rPr>
      </w:pPr>
      <w:r w:rsidRPr="00AC0130">
        <w:rPr>
          <w:b/>
          <w:bCs/>
          <w:sz w:val="22"/>
          <w:szCs w:val="22"/>
          <w:lang w:val="es-AR"/>
        </w:rPr>
        <w:t xml:space="preserve">ARTÍCULO 7°.- </w:t>
      </w:r>
      <w:r w:rsidRPr="008666DB">
        <w:rPr>
          <w:bCs/>
          <w:sz w:val="22"/>
          <w:szCs w:val="22"/>
          <w:lang w:val="es-AR"/>
        </w:rPr>
        <w:t>Remítase, como parte integrante de la presente, copia certificada de: a) la Nota de Secretaría N° 104 del 12/06/2026; b) las constancias de los expedientes N° 6127/O y N° 6128/O y de su desaprobación; c) el registro documental de la consumación del corte de calles (Anexo I); d) el recibo de haberes del período 03/2026 (Anexo II); y e) las constancias de los proyectos en comisión relativos al</w:t>
      </w:r>
      <w:r w:rsidR="00F1736D">
        <w:rPr>
          <w:bCs/>
          <w:sz w:val="22"/>
          <w:szCs w:val="22"/>
          <w:lang w:val="es-AR"/>
        </w:rPr>
        <w:t xml:space="preserve"> </w:t>
      </w:r>
      <w:r w:rsidRPr="008666DB">
        <w:rPr>
          <w:bCs/>
          <w:sz w:val="22"/>
          <w:szCs w:val="22"/>
          <w:lang w:val="es-AR"/>
        </w:rPr>
        <w:t>comodato.</w:t>
      </w:r>
      <w:r w:rsidRPr="00AC0130">
        <w:rPr>
          <w:b/>
          <w:bCs/>
          <w:sz w:val="22"/>
          <w:szCs w:val="22"/>
          <w:lang w:val="es-AR"/>
        </w:rPr>
        <w:br/>
        <w:t xml:space="preserve">ARTÍCULO 8°.- </w:t>
      </w:r>
      <w:r w:rsidRPr="008666DB">
        <w:rPr>
          <w:bCs/>
          <w:sz w:val="22"/>
          <w:szCs w:val="22"/>
          <w:lang w:val="es-AR"/>
        </w:rPr>
        <w:t>De forma</w:t>
      </w:r>
      <w:r w:rsidR="008666DB">
        <w:rPr>
          <w:bCs/>
          <w:sz w:val="22"/>
          <w:szCs w:val="22"/>
          <w:lang w:val="es-AR"/>
        </w:rPr>
        <w:t>.</w:t>
      </w:r>
    </w:p>
    <w:p w14:paraId="1A99D5B8" w14:textId="77777777" w:rsidR="00FA6BA9" w:rsidRPr="00AC0130" w:rsidRDefault="00FA6BA9" w:rsidP="00AC0130">
      <w:pPr>
        <w:spacing w:line="360" w:lineRule="auto"/>
        <w:jc w:val="both"/>
        <w:rPr>
          <w:sz w:val="22"/>
          <w:szCs w:val="22"/>
        </w:rPr>
      </w:pPr>
    </w:p>
    <w:sectPr w:rsidR="00FA6BA9" w:rsidRPr="00AC0130"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9AFB1" w14:textId="77777777" w:rsidR="00537710" w:rsidRDefault="00537710">
      <w:r>
        <w:separator/>
      </w:r>
    </w:p>
  </w:endnote>
  <w:endnote w:type="continuationSeparator" w:id="0">
    <w:p w14:paraId="78F53528" w14:textId="77777777" w:rsidR="00537710" w:rsidRDefault="0053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4FAF" w14:textId="77777777" w:rsidR="00BB12B5"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6F33C968" w14:textId="77777777" w:rsidR="00BB12B5" w:rsidRDefault="00BB12B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350E23E1" w14:textId="5C0AF5B1" w:rsidR="00BB12B5" w:rsidRDefault="003663E3">
        <w:pPr>
          <w:pStyle w:val="Piedepgina"/>
          <w:jc w:val="right"/>
        </w:pPr>
        <w:r>
          <w:rPr>
            <w:noProof/>
          </w:rPr>
          <w:fldChar w:fldCharType="begin"/>
        </w:r>
        <w:r>
          <w:rPr>
            <w:noProof/>
          </w:rPr>
          <w:instrText xml:space="preserve"> PAGE   \* MERGEFORMAT </w:instrText>
        </w:r>
        <w:r>
          <w:rPr>
            <w:noProof/>
          </w:rPr>
          <w:fldChar w:fldCharType="separate"/>
        </w:r>
        <w:r w:rsidR="00083C82">
          <w:rPr>
            <w:noProof/>
          </w:rPr>
          <w:t>9</w:t>
        </w:r>
        <w:r>
          <w:rPr>
            <w:noProof/>
          </w:rPr>
          <w:fldChar w:fldCharType="end"/>
        </w:r>
      </w:p>
    </w:sdtContent>
  </w:sdt>
  <w:p w14:paraId="7A833385" w14:textId="77777777" w:rsidR="00BB12B5" w:rsidRDefault="00BB12B5">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5D45F" w14:textId="77777777" w:rsidR="00537710" w:rsidRDefault="00537710">
      <w:r>
        <w:separator/>
      </w:r>
    </w:p>
  </w:footnote>
  <w:footnote w:type="continuationSeparator" w:id="0">
    <w:p w14:paraId="78B9D1D7" w14:textId="77777777" w:rsidR="00537710" w:rsidRDefault="005377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45788" w14:textId="77777777" w:rsidR="00BB12B5" w:rsidRDefault="003663E3" w:rsidP="00EA7F7F">
    <w:pPr>
      <w:jc w:val="center"/>
      <w:rPr>
        <w:color w:val="000000"/>
        <w:sz w:val="22"/>
        <w:szCs w:val="22"/>
      </w:rPr>
    </w:pPr>
    <w:r>
      <w:rPr>
        <w:noProof/>
        <w:color w:val="000000"/>
        <w:sz w:val="22"/>
        <w:szCs w:val="22"/>
        <w:lang w:val="en-US" w:eastAsia="en-US"/>
      </w:rPr>
      <w:drawing>
        <wp:inline distT="0" distB="0" distL="0" distR="0" wp14:anchorId="3A92AAF4" wp14:editId="27B51CAC">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70ECB3B" w14:textId="77777777" w:rsidR="00BB12B5"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6D977391" w14:textId="77777777" w:rsidR="00BB12B5"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66397969" w14:textId="77777777" w:rsidR="00BB12B5"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45F3952C" w14:textId="77777777" w:rsidR="00BB12B5" w:rsidRDefault="003663E3" w:rsidP="00EA7F7F">
    <w:pPr>
      <w:pStyle w:val="Encabezado"/>
      <w:rPr>
        <w:b/>
        <w:bCs/>
      </w:rPr>
    </w:pPr>
    <w:r w:rsidRPr="3AA98127">
      <w:rPr>
        <w:b/>
        <w:bCs/>
      </w:rPr>
      <w:t xml:space="preserve">“Año 2022 Las Malvinas son </w:t>
    </w:r>
    <w:proofErr w:type="gramStart"/>
    <w:r w:rsidRPr="3AA98127">
      <w:rPr>
        <w:b/>
        <w:bCs/>
      </w:rPr>
      <w:t>Argentinas</w:t>
    </w:r>
    <w:proofErr w:type="gramEnd"/>
    <w:r w:rsidRPr="3AA98127">
      <w:rPr>
        <w:b/>
        <w:bCs/>
      </w:rPr>
      <w:t>. 40 años, Soberanía, Homenaje y Respeto”</w:t>
    </w:r>
  </w:p>
  <w:p w14:paraId="2CAEA5A2" w14:textId="77777777" w:rsidR="00BB12B5" w:rsidRDefault="00BB12B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21EF" w14:textId="16653F6B" w:rsidR="0085134E" w:rsidRPr="0085134E" w:rsidRDefault="0085134E" w:rsidP="0085134E">
    <w:pPr>
      <w:ind w:left="170"/>
      <w:jc w:val="center"/>
      <w:rPr>
        <w:rFonts w:ascii="Footlight MT Light" w:hAnsi="Footlight MT Light"/>
        <w:color w:val="000000"/>
        <w:sz w:val="20"/>
        <w:szCs w:val="20"/>
        <w:lang w:val="es-AR"/>
      </w:rPr>
    </w:pPr>
    <w:r w:rsidRPr="0085134E">
      <w:rPr>
        <w:rFonts w:ascii="Footlight MT Light" w:hAnsi="Footlight MT Light"/>
        <w:noProof/>
        <w:color w:val="000000"/>
        <w:sz w:val="20"/>
        <w:szCs w:val="20"/>
        <w:lang w:val="en-US" w:eastAsia="en-US"/>
      </w:rPr>
      <w:drawing>
        <wp:inline distT="0" distB="0" distL="0" distR="0" wp14:anchorId="6D774190" wp14:editId="33CB3962">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12F1819A" w14:textId="77777777" w:rsidR="0085134E" w:rsidRPr="0085134E" w:rsidRDefault="0085134E" w:rsidP="0085134E">
    <w:pPr>
      <w:keepNext/>
      <w:ind w:left="170"/>
      <w:jc w:val="center"/>
      <w:outlineLvl w:val="0"/>
      <w:rPr>
        <w:b/>
        <w:bCs/>
        <w:color w:val="000000"/>
        <w:sz w:val="22"/>
        <w:szCs w:val="22"/>
        <w:lang w:val="es-AR"/>
      </w:rPr>
    </w:pPr>
    <w:r w:rsidRPr="0085134E">
      <w:rPr>
        <w:b/>
        <w:bCs/>
        <w:color w:val="000000"/>
        <w:sz w:val="22"/>
        <w:szCs w:val="22"/>
        <w:lang w:val="es-AR"/>
      </w:rPr>
      <w:t>Honorable Concejo Deliberante</w:t>
    </w:r>
  </w:p>
  <w:p w14:paraId="5605B820" w14:textId="19E6AFC0" w:rsidR="0085134E" w:rsidRDefault="0085134E" w:rsidP="0085134E">
    <w:pPr>
      <w:ind w:left="170"/>
      <w:jc w:val="center"/>
      <w:rPr>
        <w:b/>
        <w:bCs/>
        <w:color w:val="000000"/>
        <w:sz w:val="22"/>
        <w:szCs w:val="22"/>
        <w:lang w:val="es-AR"/>
      </w:rPr>
    </w:pPr>
    <w:r>
      <w:rPr>
        <w:b/>
        <w:bCs/>
        <w:color w:val="000000"/>
        <w:sz w:val="22"/>
        <w:szCs w:val="22"/>
        <w:lang w:val="es-AR"/>
      </w:rPr>
      <w:t>Mitre 38</w:t>
    </w:r>
    <w:r w:rsidRPr="0085134E">
      <w:rPr>
        <w:b/>
        <w:bCs/>
        <w:color w:val="000000"/>
        <w:sz w:val="22"/>
        <w:szCs w:val="22"/>
        <w:lang w:val="es-AR"/>
      </w:rPr>
      <w:t xml:space="preserve"> -    Chascomús</w:t>
    </w:r>
  </w:p>
  <w:p w14:paraId="41F12567" w14:textId="7E22AF43" w:rsidR="0085134E" w:rsidRPr="0085134E" w:rsidRDefault="0085134E" w:rsidP="0085134E">
    <w:pPr>
      <w:ind w:left="170"/>
      <w:jc w:val="center"/>
      <w:rPr>
        <w:b/>
        <w:bCs/>
        <w:color w:val="000000"/>
        <w:sz w:val="22"/>
        <w:szCs w:val="22"/>
        <w:lang w:val="es-AR"/>
      </w:rPr>
    </w:pPr>
    <w:r>
      <w:rPr>
        <w:b/>
        <w:bCs/>
        <w:color w:val="000000"/>
        <w:sz w:val="22"/>
        <w:szCs w:val="22"/>
        <w:lang w:val="es-AR"/>
      </w:rPr>
      <w:t>Bloques POTENCIA - GEN</w:t>
    </w:r>
  </w:p>
  <w:p w14:paraId="347592E5" w14:textId="77777777" w:rsidR="0085134E" w:rsidRPr="0085134E" w:rsidRDefault="0085134E" w:rsidP="0085134E">
    <w:pPr>
      <w:ind w:left="170"/>
      <w:jc w:val="center"/>
      <w:rPr>
        <w:b/>
        <w:lang w:val="es-ES_tradnl" w:eastAsia="en-US"/>
      </w:rPr>
    </w:pPr>
    <w:r w:rsidRPr="0085134E">
      <w:rPr>
        <w:b/>
        <w:bCs/>
        <w:color w:val="000000"/>
        <w:sz w:val="22"/>
        <w:szCs w:val="22"/>
        <w:lang w:val="es-AR"/>
      </w:rPr>
      <w:t>“</w:t>
    </w:r>
    <w:r w:rsidRPr="0085134E">
      <w:rPr>
        <w:rFonts w:eastAsia="Calibri"/>
        <w:b/>
        <w:sz w:val="22"/>
        <w:szCs w:val="22"/>
        <w:lang w:eastAsia="en-US"/>
      </w:rPr>
      <w:t>2026: Año del 200° Aniversario de la Escuela Primaria N° 1 “Bernardino Rivadavia”</w:t>
    </w:r>
  </w:p>
  <w:p w14:paraId="4F277274" w14:textId="77777777" w:rsidR="00BB12B5" w:rsidRDefault="00BB12B5">
    <w:pPr>
      <w:jc w:val="center"/>
      <w:rPr>
        <w:b/>
        <w:sz w:val="22"/>
        <w:szCs w:val="22"/>
      </w:rPr>
    </w:pPr>
  </w:p>
  <w:p w14:paraId="375EA8E7" w14:textId="77777777" w:rsidR="00BB12B5" w:rsidRDefault="00BB12B5">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0F0B68"/>
    <w:multiLevelType w:val="hybridMultilevel"/>
    <w:tmpl w:val="D9669AA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7"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B614F83"/>
    <w:multiLevelType w:val="hybridMultilevel"/>
    <w:tmpl w:val="F8E4FEDC"/>
    <w:lvl w:ilvl="0" w:tplc="B1EA005A">
      <w:start w:val="1"/>
      <w:numFmt w:val="lowerLetter"/>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7D740C98"/>
    <w:multiLevelType w:val="hybridMultilevel"/>
    <w:tmpl w:val="641AAD9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5"/>
  </w:num>
  <w:num w:numId="5">
    <w:abstractNumId w:val="11"/>
  </w:num>
  <w:num w:numId="6">
    <w:abstractNumId w:val="6"/>
  </w:num>
  <w:num w:numId="7">
    <w:abstractNumId w:val="0"/>
  </w:num>
  <w:num w:numId="8">
    <w:abstractNumId w:val="2"/>
  </w:num>
  <w:num w:numId="9">
    <w:abstractNumId w:val="13"/>
  </w:num>
  <w:num w:numId="10">
    <w:abstractNumId w:val="12"/>
  </w:num>
  <w:num w:numId="11">
    <w:abstractNumId w:val="10"/>
  </w:num>
  <w:num w:numId="12">
    <w:abstractNumId w:val="8"/>
  </w:num>
  <w:num w:numId="13">
    <w:abstractNumId w:val="14"/>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2671"/>
    <w:rsid w:val="00005397"/>
    <w:rsid w:val="00011B9F"/>
    <w:rsid w:val="00020439"/>
    <w:rsid w:val="000254BE"/>
    <w:rsid w:val="0005181D"/>
    <w:rsid w:val="00063FF5"/>
    <w:rsid w:val="00076427"/>
    <w:rsid w:val="00081067"/>
    <w:rsid w:val="00082B90"/>
    <w:rsid w:val="00083C82"/>
    <w:rsid w:val="00091D7C"/>
    <w:rsid w:val="000A0C32"/>
    <w:rsid w:val="000A3449"/>
    <w:rsid w:val="000A6FE8"/>
    <w:rsid w:val="000B5775"/>
    <w:rsid w:val="000C111A"/>
    <w:rsid w:val="000D53E5"/>
    <w:rsid w:val="000E3F62"/>
    <w:rsid w:val="000E7D56"/>
    <w:rsid w:val="000F529E"/>
    <w:rsid w:val="001006A1"/>
    <w:rsid w:val="001037B8"/>
    <w:rsid w:val="00120ACF"/>
    <w:rsid w:val="0012148C"/>
    <w:rsid w:val="00130DBA"/>
    <w:rsid w:val="00130DEA"/>
    <w:rsid w:val="001434A0"/>
    <w:rsid w:val="00150285"/>
    <w:rsid w:val="001512C2"/>
    <w:rsid w:val="001539C5"/>
    <w:rsid w:val="001545B7"/>
    <w:rsid w:val="00162B9E"/>
    <w:rsid w:val="001734D0"/>
    <w:rsid w:val="00173A72"/>
    <w:rsid w:val="00173D05"/>
    <w:rsid w:val="00177B0B"/>
    <w:rsid w:val="00177DD6"/>
    <w:rsid w:val="0019029C"/>
    <w:rsid w:val="0019050C"/>
    <w:rsid w:val="00194B3E"/>
    <w:rsid w:val="001A7920"/>
    <w:rsid w:val="001C0066"/>
    <w:rsid w:val="001D29A4"/>
    <w:rsid w:val="001D6A51"/>
    <w:rsid w:val="001E1197"/>
    <w:rsid w:val="001E7A7D"/>
    <w:rsid w:val="001E7BBB"/>
    <w:rsid w:val="00202CC9"/>
    <w:rsid w:val="00206027"/>
    <w:rsid w:val="00207886"/>
    <w:rsid w:val="00207CDC"/>
    <w:rsid w:val="0022355B"/>
    <w:rsid w:val="0023599A"/>
    <w:rsid w:val="002541DA"/>
    <w:rsid w:val="00286BDB"/>
    <w:rsid w:val="00292E58"/>
    <w:rsid w:val="002A0747"/>
    <w:rsid w:val="002A2BC9"/>
    <w:rsid w:val="002A500C"/>
    <w:rsid w:val="002B5A06"/>
    <w:rsid w:val="002C0260"/>
    <w:rsid w:val="002C0A4C"/>
    <w:rsid w:val="002C57C6"/>
    <w:rsid w:val="002C6A6D"/>
    <w:rsid w:val="002D423A"/>
    <w:rsid w:val="002E202E"/>
    <w:rsid w:val="002F0529"/>
    <w:rsid w:val="00301255"/>
    <w:rsid w:val="00317017"/>
    <w:rsid w:val="00333D00"/>
    <w:rsid w:val="00341829"/>
    <w:rsid w:val="00345903"/>
    <w:rsid w:val="00353F23"/>
    <w:rsid w:val="003553B3"/>
    <w:rsid w:val="0036512B"/>
    <w:rsid w:val="003663E3"/>
    <w:rsid w:val="003664BD"/>
    <w:rsid w:val="003762CB"/>
    <w:rsid w:val="00381EC3"/>
    <w:rsid w:val="003A7287"/>
    <w:rsid w:val="003B40F5"/>
    <w:rsid w:val="003B5BB0"/>
    <w:rsid w:val="003B72A1"/>
    <w:rsid w:val="003C1D4C"/>
    <w:rsid w:val="003D46BC"/>
    <w:rsid w:val="003D4F5E"/>
    <w:rsid w:val="003D509E"/>
    <w:rsid w:val="003D60B2"/>
    <w:rsid w:val="003E0F6A"/>
    <w:rsid w:val="003E24C6"/>
    <w:rsid w:val="003E681E"/>
    <w:rsid w:val="003F67FC"/>
    <w:rsid w:val="004046A2"/>
    <w:rsid w:val="004112E7"/>
    <w:rsid w:val="004151FE"/>
    <w:rsid w:val="004263DF"/>
    <w:rsid w:val="004271CD"/>
    <w:rsid w:val="004377F2"/>
    <w:rsid w:val="00452482"/>
    <w:rsid w:val="004535A7"/>
    <w:rsid w:val="0045465A"/>
    <w:rsid w:val="00466B30"/>
    <w:rsid w:val="004819E3"/>
    <w:rsid w:val="00497015"/>
    <w:rsid w:val="004A526D"/>
    <w:rsid w:val="004B1449"/>
    <w:rsid w:val="004C4225"/>
    <w:rsid w:val="004D3AD3"/>
    <w:rsid w:val="004F2E08"/>
    <w:rsid w:val="004F30A0"/>
    <w:rsid w:val="004F77D0"/>
    <w:rsid w:val="004F7805"/>
    <w:rsid w:val="0052078C"/>
    <w:rsid w:val="00522CF0"/>
    <w:rsid w:val="005265C7"/>
    <w:rsid w:val="00537710"/>
    <w:rsid w:val="00566DE6"/>
    <w:rsid w:val="00572AFB"/>
    <w:rsid w:val="005757BA"/>
    <w:rsid w:val="00586308"/>
    <w:rsid w:val="005A239A"/>
    <w:rsid w:val="005A2591"/>
    <w:rsid w:val="005B2A75"/>
    <w:rsid w:val="005B2B3D"/>
    <w:rsid w:val="005B5AB5"/>
    <w:rsid w:val="005C03AE"/>
    <w:rsid w:val="005C1547"/>
    <w:rsid w:val="005C531C"/>
    <w:rsid w:val="005D644B"/>
    <w:rsid w:val="005F0CE1"/>
    <w:rsid w:val="006074ED"/>
    <w:rsid w:val="006138E5"/>
    <w:rsid w:val="006165D5"/>
    <w:rsid w:val="00620815"/>
    <w:rsid w:val="00626818"/>
    <w:rsid w:val="00631CFE"/>
    <w:rsid w:val="0063337C"/>
    <w:rsid w:val="00647273"/>
    <w:rsid w:val="00653904"/>
    <w:rsid w:val="00657A44"/>
    <w:rsid w:val="00667D5A"/>
    <w:rsid w:val="00677CD1"/>
    <w:rsid w:val="00690A95"/>
    <w:rsid w:val="00691710"/>
    <w:rsid w:val="00696BA7"/>
    <w:rsid w:val="006A2EB8"/>
    <w:rsid w:val="006B126A"/>
    <w:rsid w:val="006B384C"/>
    <w:rsid w:val="006B47B6"/>
    <w:rsid w:val="006B5691"/>
    <w:rsid w:val="006C01E1"/>
    <w:rsid w:val="006D0010"/>
    <w:rsid w:val="006D13C7"/>
    <w:rsid w:val="006D4A9E"/>
    <w:rsid w:val="006E6908"/>
    <w:rsid w:val="006F13AD"/>
    <w:rsid w:val="006F1E05"/>
    <w:rsid w:val="006F6712"/>
    <w:rsid w:val="00720A74"/>
    <w:rsid w:val="007235A7"/>
    <w:rsid w:val="007241B9"/>
    <w:rsid w:val="0072570F"/>
    <w:rsid w:val="00734D64"/>
    <w:rsid w:val="00742760"/>
    <w:rsid w:val="00745732"/>
    <w:rsid w:val="0075096F"/>
    <w:rsid w:val="0075760E"/>
    <w:rsid w:val="007577DA"/>
    <w:rsid w:val="007746A0"/>
    <w:rsid w:val="00783F88"/>
    <w:rsid w:val="0079484E"/>
    <w:rsid w:val="007A41DE"/>
    <w:rsid w:val="007A7DBD"/>
    <w:rsid w:val="007A7E1C"/>
    <w:rsid w:val="007B1E56"/>
    <w:rsid w:val="007C186E"/>
    <w:rsid w:val="007C1A3F"/>
    <w:rsid w:val="007D57D5"/>
    <w:rsid w:val="007E1F1A"/>
    <w:rsid w:val="007F166C"/>
    <w:rsid w:val="007F26D8"/>
    <w:rsid w:val="007F2AF5"/>
    <w:rsid w:val="007F7D0A"/>
    <w:rsid w:val="0080380C"/>
    <w:rsid w:val="00815414"/>
    <w:rsid w:val="00822EBA"/>
    <w:rsid w:val="00824D06"/>
    <w:rsid w:val="00830E54"/>
    <w:rsid w:val="00833F05"/>
    <w:rsid w:val="00845C01"/>
    <w:rsid w:val="0085134E"/>
    <w:rsid w:val="00864105"/>
    <w:rsid w:val="008666DB"/>
    <w:rsid w:val="00872343"/>
    <w:rsid w:val="008728EB"/>
    <w:rsid w:val="0088701F"/>
    <w:rsid w:val="00894ABD"/>
    <w:rsid w:val="00895FA2"/>
    <w:rsid w:val="008A2AD2"/>
    <w:rsid w:val="008A5881"/>
    <w:rsid w:val="008B39E0"/>
    <w:rsid w:val="008B661C"/>
    <w:rsid w:val="008C4B0A"/>
    <w:rsid w:val="008D287F"/>
    <w:rsid w:val="008D6955"/>
    <w:rsid w:val="008E65DB"/>
    <w:rsid w:val="008F0DBE"/>
    <w:rsid w:val="008F71B6"/>
    <w:rsid w:val="009151CB"/>
    <w:rsid w:val="00917F03"/>
    <w:rsid w:val="00920820"/>
    <w:rsid w:val="0092379A"/>
    <w:rsid w:val="00924657"/>
    <w:rsid w:val="009249BC"/>
    <w:rsid w:val="00943FD3"/>
    <w:rsid w:val="009527F2"/>
    <w:rsid w:val="00952EAE"/>
    <w:rsid w:val="009572F2"/>
    <w:rsid w:val="009627FD"/>
    <w:rsid w:val="009703AE"/>
    <w:rsid w:val="00983A2A"/>
    <w:rsid w:val="00993B0D"/>
    <w:rsid w:val="00995F77"/>
    <w:rsid w:val="009A170F"/>
    <w:rsid w:val="009A5B2D"/>
    <w:rsid w:val="009B08E7"/>
    <w:rsid w:val="009B34D6"/>
    <w:rsid w:val="009C2230"/>
    <w:rsid w:val="009C328D"/>
    <w:rsid w:val="009C6330"/>
    <w:rsid w:val="009E1C5A"/>
    <w:rsid w:val="009F04A4"/>
    <w:rsid w:val="009F1587"/>
    <w:rsid w:val="009F536A"/>
    <w:rsid w:val="009F6886"/>
    <w:rsid w:val="00A11D4D"/>
    <w:rsid w:val="00A161B7"/>
    <w:rsid w:val="00A21F27"/>
    <w:rsid w:val="00A26F57"/>
    <w:rsid w:val="00A2701B"/>
    <w:rsid w:val="00A3192A"/>
    <w:rsid w:val="00A34AB1"/>
    <w:rsid w:val="00A358BB"/>
    <w:rsid w:val="00A53955"/>
    <w:rsid w:val="00A742CB"/>
    <w:rsid w:val="00A95ECE"/>
    <w:rsid w:val="00A97D8A"/>
    <w:rsid w:val="00AA3722"/>
    <w:rsid w:val="00AA75AF"/>
    <w:rsid w:val="00AB0D4A"/>
    <w:rsid w:val="00AB0F7B"/>
    <w:rsid w:val="00AB51E7"/>
    <w:rsid w:val="00AC0130"/>
    <w:rsid w:val="00AC3595"/>
    <w:rsid w:val="00AC3D91"/>
    <w:rsid w:val="00AD0A88"/>
    <w:rsid w:val="00AD1633"/>
    <w:rsid w:val="00AD50F4"/>
    <w:rsid w:val="00AE38FB"/>
    <w:rsid w:val="00AF0611"/>
    <w:rsid w:val="00B016CE"/>
    <w:rsid w:val="00B02D62"/>
    <w:rsid w:val="00B153BA"/>
    <w:rsid w:val="00B227C9"/>
    <w:rsid w:val="00B3094B"/>
    <w:rsid w:val="00B33EE0"/>
    <w:rsid w:val="00B35CCB"/>
    <w:rsid w:val="00B376D9"/>
    <w:rsid w:val="00B42BD3"/>
    <w:rsid w:val="00B44DED"/>
    <w:rsid w:val="00B61420"/>
    <w:rsid w:val="00B63AD9"/>
    <w:rsid w:val="00B718D2"/>
    <w:rsid w:val="00B74D5E"/>
    <w:rsid w:val="00B87AAB"/>
    <w:rsid w:val="00B943CF"/>
    <w:rsid w:val="00B94D41"/>
    <w:rsid w:val="00BB0D75"/>
    <w:rsid w:val="00BB12B5"/>
    <w:rsid w:val="00BC104C"/>
    <w:rsid w:val="00BF404C"/>
    <w:rsid w:val="00C01D01"/>
    <w:rsid w:val="00C03172"/>
    <w:rsid w:val="00C04BF5"/>
    <w:rsid w:val="00C134A7"/>
    <w:rsid w:val="00C169CB"/>
    <w:rsid w:val="00C20029"/>
    <w:rsid w:val="00C470EB"/>
    <w:rsid w:val="00C53FBD"/>
    <w:rsid w:val="00C95D59"/>
    <w:rsid w:val="00CA3296"/>
    <w:rsid w:val="00CA469B"/>
    <w:rsid w:val="00CB469A"/>
    <w:rsid w:val="00CC1C98"/>
    <w:rsid w:val="00CC5E7A"/>
    <w:rsid w:val="00CD04AC"/>
    <w:rsid w:val="00CD287A"/>
    <w:rsid w:val="00CE5EF5"/>
    <w:rsid w:val="00CE6F21"/>
    <w:rsid w:val="00CF0991"/>
    <w:rsid w:val="00CF494F"/>
    <w:rsid w:val="00D0740E"/>
    <w:rsid w:val="00D34F71"/>
    <w:rsid w:val="00D365CA"/>
    <w:rsid w:val="00D512B9"/>
    <w:rsid w:val="00D51A35"/>
    <w:rsid w:val="00D520BF"/>
    <w:rsid w:val="00D61364"/>
    <w:rsid w:val="00D666E5"/>
    <w:rsid w:val="00D81BFD"/>
    <w:rsid w:val="00D86A3B"/>
    <w:rsid w:val="00D95D56"/>
    <w:rsid w:val="00DA1489"/>
    <w:rsid w:val="00DB4CCC"/>
    <w:rsid w:val="00DD5349"/>
    <w:rsid w:val="00DF011C"/>
    <w:rsid w:val="00DF09DB"/>
    <w:rsid w:val="00E029AF"/>
    <w:rsid w:val="00E066BD"/>
    <w:rsid w:val="00E1609C"/>
    <w:rsid w:val="00E3228D"/>
    <w:rsid w:val="00E3228F"/>
    <w:rsid w:val="00E42137"/>
    <w:rsid w:val="00E45641"/>
    <w:rsid w:val="00E553BE"/>
    <w:rsid w:val="00E61348"/>
    <w:rsid w:val="00E80DAE"/>
    <w:rsid w:val="00E865DC"/>
    <w:rsid w:val="00E93B79"/>
    <w:rsid w:val="00E972EC"/>
    <w:rsid w:val="00EA04FC"/>
    <w:rsid w:val="00EA1253"/>
    <w:rsid w:val="00EA27AC"/>
    <w:rsid w:val="00EA788B"/>
    <w:rsid w:val="00ED1853"/>
    <w:rsid w:val="00ED19F6"/>
    <w:rsid w:val="00ED28C2"/>
    <w:rsid w:val="00EE2EF5"/>
    <w:rsid w:val="00EE68B1"/>
    <w:rsid w:val="00EF3782"/>
    <w:rsid w:val="00EF3C91"/>
    <w:rsid w:val="00F04758"/>
    <w:rsid w:val="00F155E7"/>
    <w:rsid w:val="00F1736D"/>
    <w:rsid w:val="00F211A5"/>
    <w:rsid w:val="00F328C0"/>
    <w:rsid w:val="00F34703"/>
    <w:rsid w:val="00F44F91"/>
    <w:rsid w:val="00F47E4E"/>
    <w:rsid w:val="00F555F6"/>
    <w:rsid w:val="00F56BB6"/>
    <w:rsid w:val="00F6593F"/>
    <w:rsid w:val="00F7575E"/>
    <w:rsid w:val="00F849CD"/>
    <w:rsid w:val="00F913DC"/>
    <w:rsid w:val="00F922A9"/>
    <w:rsid w:val="00FA5093"/>
    <w:rsid w:val="00FA6BA9"/>
    <w:rsid w:val="00FC2910"/>
    <w:rsid w:val="00FC2DED"/>
    <w:rsid w:val="00FC6A8A"/>
    <w:rsid w:val="00FC7B10"/>
    <w:rsid w:val="00FE1CA6"/>
    <w:rsid w:val="00FE6897"/>
    <w:rsid w:val="00FE70EF"/>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19955"/>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styleId="nfasis">
    <w:name w:val="Emphasis"/>
    <w:basedOn w:val="Fuentedeprrafopredeter"/>
    <w:uiPriority w:val="20"/>
    <w:qFormat/>
    <w:rsid w:val="00620815"/>
    <w:rPr>
      <w:i/>
      <w:iCs/>
    </w:rPr>
  </w:style>
  <w:style w:type="paragraph" w:customStyle="1" w:styleId="isselectedend">
    <w:name w:val="isselectedend"/>
    <w:basedOn w:val="Normal"/>
    <w:rsid w:val="00466B3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76904267">
      <w:bodyDiv w:val="1"/>
      <w:marLeft w:val="0"/>
      <w:marRight w:val="0"/>
      <w:marTop w:val="0"/>
      <w:marBottom w:val="0"/>
      <w:divBdr>
        <w:top w:val="none" w:sz="0" w:space="0" w:color="auto"/>
        <w:left w:val="none" w:sz="0" w:space="0" w:color="auto"/>
        <w:bottom w:val="none" w:sz="0" w:space="0" w:color="auto"/>
        <w:right w:val="none" w:sz="0" w:space="0" w:color="auto"/>
      </w:divBdr>
    </w:div>
    <w:div w:id="105736565">
      <w:bodyDiv w:val="1"/>
      <w:marLeft w:val="0"/>
      <w:marRight w:val="0"/>
      <w:marTop w:val="0"/>
      <w:marBottom w:val="0"/>
      <w:divBdr>
        <w:top w:val="none" w:sz="0" w:space="0" w:color="auto"/>
        <w:left w:val="none" w:sz="0" w:space="0" w:color="auto"/>
        <w:bottom w:val="none" w:sz="0" w:space="0" w:color="auto"/>
        <w:right w:val="none" w:sz="0" w:space="0" w:color="auto"/>
      </w:divBdr>
    </w:div>
    <w:div w:id="149371492">
      <w:bodyDiv w:val="1"/>
      <w:marLeft w:val="0"/>
      <w:marRight w:val="0"/>
      <w:marTop w:val="0"/>
      <w:marBottom w:val="0"/>
      <w:divBdr>
        <w:top w:val="none" w:sz="0" w:space="0" w:color="auto"/>
        <w:left w:val="none" w:sz="0" w:space="0" w:color="auto"/>
        <w:bottom w:val="none" w:sz="0" w:space="0" w:color="auto"/>
        <w:right w:val="none" w:sz="0" w:space="0" w:color="auto"/>
      </w:divBdr>
    </w:div>
    <w:div w:id="203293755">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317463057">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1005286310">
      <w:bodyDiv w:val="1"/>
      <w:marLeft w:val="0"/>
      <w:marRight w:val="0"/>
      <w:marTop w:val="0"/>
      <w:marBottom w:val="0"/>
      <w:divBdr>
        <w:top w:val="none" w:sz="0" w:space="0" w:color="auto"/>
        <w:left w:val="none" w:sz="0" w:space="0" w:color="auto"/>
        <w:bottom w:val="none" w:sz="0" w:space="0" w:color="auto"/>
        <w:right w:val="none" w:sz="0" w:space="0" w:color="auto"/>
      </w:divBdr>
    </w:div>
    <w:div w:id="1029380706">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174104053">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09993880">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00576262">
      <w:bodyDiv w:val="1"/>
      <w:marLeft w:val="0"/>
      <w:marRight w:val="0"/>
      <w:marTop w:val="0"/>
      <w:marBottom w:val="0"/>
      <w:divBdr>
        <w:top w:val="none" w:sz="0" w:space="0" w:color="auto"/>
        <w:left w:val="none" w:sz="0" w:space="0" w:color="auto"/>
        <w:bottom w:val="none" w:sz="0" w:space="0" w:color="auto"/>
        <w:right w:val="none" w:sz="0" w:space="0" w:color="auto"/>
      </w:divBdr>
    </w:div>
    <w:div w:id="1321731843">
      <w:bodyDiv w:val="1"/>
      <w:marLeft w:val="0"/>
      <w:marRight w:val="0"/>
      <w:marTop w:val="0"/>
      <w:marBottom w:val="0"/>
      <w:divBdr>
        <w:top w:val="none" w:sz="0" w:space="0" w:color="auto"/>
        <w:left w:val="none" w:sz="0" w:space="0" w:color="auto"/>
        <w:bottom w:val="none" w:sz="0" w:space="0" w:color="auto"/>
        <w:right w:val="none" w:sz="0" w:space="0" w:color="auto"/>
      </w:divBdr>
    </w:div>
    <w:div w:id="1374882628">
      <w:bodyDiv w:val="1"/>
      <w:marLeft w:val="0"/>
      <w:marRight w:val="0"/>
      <w:marTop w:val="0"/>
      <w:marBottom w:val="0"/>
      <w:divBdr>
        <w:top w:val="none" w:sz="0" w:space="0" w:color="auto"/>
        <w:left w:val="none" w:sz="0" w:space="0" w:color="auto"/>
        <w:bottom w:val="none" w:sz="0" w:space="0" w:color="auto"/>
        <w:right w:val="none" w:sz="0" w:space="0" w:color="auto"/>
      </w:divBdr>
    </w:div>
    <w:div w:id="1559314773">
      <w:bodyDiv w:val="1"/>
      <w:marLeft w:val="0"/>
      <w:marRight w:val="0"/>
      <w:marTop w:val="0"/>
      <w:marBottom w:val="0"/>
      <w:divBdr>
        <w:top w:val="none" w:sz="0" w:space="0" w:color="auto"/>
        <w:left w:val="none" w:sz="0" w:space="0" w:color="auto"/>
        <w:bottom w:val="none" w:sz="0" w:space="0" w:color="auto"/>
        <w:right w:val="none" w:sz="0" w:space="0" w:color="auto"/>
      </w:divBdr>
    </w:div>
    <w:div w:id="1638416340">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1753887220">
      <w:bodyDiv w:val="1"/>
      <w:marLeft w:val="0"/>
      <w:marRight w:val="0"/>
      <w:marTop w:val="0"/>
      <w:marBottom w:val="0"/>
      <w:divBdr>
        <w:top w:val="none" w:sz="0" w:space="0" w:color="auto"/>
        <w:left w:val="none" w:sz="0" w:space="0" w:color="auto"/>
        <w:bottom w:val="none" w:sz="0" w:space="0" w:color="auto"/>
        <w:right w:val="none" w:sz="0" w:space="0" w:color="auto"/>
      </w:divBdr>
    </w:div>
    <w:div w:id="1801919019">
      <w:bodyDiv w:val="1"/>
      <w:marLeft w:val="0"/>
      <w:marRight w:val="0"/>
      <w:marTop w:val="0"/>
      <w:marBottom w:val="0"/>
      <w:divBdr>
        <w:top w:val="none" w:sz="0" w:space="0" w:color="auto"/>
        <w:left w:val="none" w:sz="0" w:space="0" w:color="auto"/>
        <w:bottom w:val="none" w:sz="0" w:space="0" w:color="auto"/>
        <w:right w:val="none" w:sz="0" w:space="0" w:color="auto"/>
      </w:divBdr>
    </w:div>
    <w:div w:id="1909920240">
      <w:bodyDiv w:val="1"/>
      <w:marLeft w:val="0"/>
      <w:marRight w:val="0"/>
      <w:marTop w:val="0"/>
      <w:marBottom w:val="0"/>
      <w:divBdr>
        <w:top w:val="none" w:sz="0" w:space="0" w:color="auto"/>
        <w:left w:val="none" w:sz="0" w:space="0" w:color="auto"/>
        <w:bottom w:val="none" w:sz="0" w:space="0" w:color="auto"/>
        <w:right w:val="none" w:sz="0" w:space="0" w:color="auto"/>
      </w:divBdr>
    </w:div>
    <w:div w:id="203714771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 w:id="2138332015">
      <w:bodyDiv w:val="1"/>
      <w:marLeft w:val="0"/>
      <w:marRight w:val="0"/>
      <w:marTop w:val="0"/>
      <w:marBottom w:val="0"/>
      <w:divBdr>
        <w:top w:val="none" w:sz="0" w:space="0" w:color="auto"/>
        <w:left w:val="none" w:sz="0" w:space="0" w:color="auto"/>
        <w:bottom w:val="none" w:sz="0" w:space="0" w:color="auto"/>
        <w:right w:val="none" w:sz="0" w:space="0" w:color="auto"/>
      </w:divBdr>
    </w:div>
    <w:div w:id="21434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2778</Words>
  <Characters>15838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dc:creator>
  <cp:lastModifiedBy>Delfina</cp:lastModifiedBy>
  <cp:revision>4</cp:revision>
  <cp:lastPrinted>2023-12-12T04:06:00Z</cp:lastPrinted>
  <dcterms:created xsi:type="dcterms:W3CDTF">2026-06-23T14:49:00Z</dcterms:created>
  <dcterms:modified xsi:type="dcterms:W3CDTF">2026-06-23T15:02:00Z</dcterms:modified>
</cp:coreProperties>
</file>