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7349" w14:textId="13EF3376" w:rsidR="00A97D8A" w:rsidRPr="00AC0130" w:rsidRDefault="00A97D8A" w:rsidP="008C2573">
      <w:pPr>
        <w:spacing w:line="360" w:lineRule="auto"/>
        <w:jc w:val="right"/>
        <w:rPr>
          <w:sz w:val="22"/>
          <w:szCs w:val="22"/>
        </w:rPr>
      </w:pPr>
      <w:r w:rsidRPr="00AC0130">
        <w:rPr>
          <w:sz w:val="22"/>
          <w:szCs w:val="22"/>
        </w:rPr>
        <w:t xml:space="preserve">                                                            Chascomús, </w:t>
      </w:r>
      <w:r w:rsidR="003B7198">
        <w:rPr>
          <w:sz w:val="22"/>
          <w:szCs w:val="22"/>
        </w:rPr>
        <w:t>2</w:t>
      </w:r>
      <w:r w:rsidR="00173A72" w:rsidRPr="00AC0130">
        <w:rPr>
          <w:sz w:val="22"/>
          <w:szCs w:val="22"/>
        </w:rPr>
        <w:t xml:space="preserve"> de </w:t>
      </w:r>
      <w:r w:rsidR="003B7198">
        <w:rPr>
          <w:sz w:val="22"/>
          <w:szCs w:val="22"/>
        </w:rPr>
        <w:t xml:space="preserve">julio </w:t>
      </w:r>
      <w:r w:rsidRPr="00AC0130">
        <w:rPr>
          <w:sz w:val="22"/>
          <w:szCs w:val="22"/>
        </w:rPr>
        <w:t>de 202</w:t>
      </w:r>
      <w:r w:rsidR="00173A72" w:rsidRPr="00AC0130">
        <w:rPr>
          <w:sz w:val="22"/>
          <w:szCs w:val="22"/>
        </w:rPr>
        <w:t>6</w:t>
      </w:r>
      <w:r w:rsidRPr="00AC0130">
        <w:rPr>
          <w:sz w:val="22"/>
          <w:szCs w:val="22"/>
        </w:rPr>
        <w:t>.</w:t>
      </w:r>
    </w:p>
    <w:p w14:paraId="699EB5C6" w14:textId="353161D3" w:rsidR="00A97D8A" w:rsidRPr="00AC0130" w:rsidRDefault="00A97D8A" w:rsidP="008C2573">
      <w:pPr>
        <w:spacing w:line="360" w:lineRule="auto"/>
        <w:jc w:val="both"/>
        <w:rPr>
          <w:b/>
          <w:bCs/>
          <w:sz w:val="22"/>
          <w:szCs w:val="22"/>
        </w:rPr>
      </w:pPr>
      <w:r w:rsidRPr="00AC0130">
        <w:rPr>
          <w:b/>
          <w:bCs/>
          <w:sz w:val="22"/>
          <w:szCs w:val="22"/>
        </w:rPr>
        <w:t>Sr</w:t>
      </w:r>
      <w:r w:rsidR="00173A72" w:rsidRPr="00AC0130">
        <w:rPr>
          <w:b/>
          <w:bCs/>
          <w:sz w:val="22"/>
          <w:szCs w:val="22"/>
        </w:rPr>
        <w:t>a</w:t>
      </w:r>
      <w:r w:rsidRPr="00AC0130">
        <w:rPr>
          <w:b/>
          <w:bCs/>
          <w:sz w:val="22"/>
          <w:szCs w:val="22"/>
        </w:rPr>
        <w:t>. Presidente del</w:t>
      </w:r>
    </w:p>
    <w:p w14:paraId="08B0493F" w14:textId="77777777" w:rsidR="00A97D8A" w:rsidRPr="00AC0130" w:rsidRDefault="00A97D8A" w:rsidP="008C2573">
      <w:pPr>
        <w:spacing w:line="360" w:lineRule="auto"/>
        <w:jc w:val="both"/>
        <w:rPr>
          <w:b/>
          <w:bCs/>
          <w:sz w:val="22"/>
          <w:szCs w:val="22"/>
        </w:rPr>
      </w:pPr>
      <w:r w:rsidRPr="00AC0130">
        <w:rPr>
          <w:b/>
          <w:bCs/>
          <w:sz w:val="22"/>
          <w:szCs w:val="22"/>
        </w:rPr>
        <w:t>Honorable Concejo Deliberante</w:t>
      </w:r>
    </w:p>
    <w:p w14:paraId="4F711FE6" w14:textId="77777777" w:rsidR="00CE6F21" w:rsidRPr="00AC0130" w:rsidRDefault="00CE6F21" w:rsidP="008C2573">
      <w:pPr>
        <w:spacing w:line="360" w:lineRule="auto"/>
        <w:jc w:val="both"/>
        <w:rPr>
          <w:b/>
          <w:bCs/>
          <w:sz w:val="22"/>
          <w:szCs w:val="22"/>
        </w:rPr>
      </w:pPr>
      <w:r w:rsidRPr="00AC0130">
        <w:rPr>
          <w:b/>
          <w:bCs/>
          <w:sz w:val="22"/>
          <w:szCs w:val="22"/>
        </w:rPr>
        <w:t>OSCAR FREDDY TOLEDO BARZOLA</w:t>
      </w:r>
    </w:p>
    <w:p w14:paraId="298A34F1" w14:textId="38E3D0DA" w:rsidR="008B661C" w:rsidRPr="00AC0130" w:rsidRDefault="008B661C" w:rsidP="008C2573">
      <w:pPr>
        <w:spacing w:line="360" w:lineRule="auto"/>
        <w:jc w:val="both"/>
        <w:rPr>
          <w:b/>
          <w:bCs/>
          <w:sz w:val="22"/>
          <w:szCs w:val="22"/>
          <w:u w:val="single"/>
        </w:rPr>
      </w:pPr>
      <w:r w:rsidRPr="00AC0130">
        <w:rPr>
          <w:b/>
          <w:bCs/>
          <w:sz w:val="22"/>
          <w:szCs w:val="22"/>
          <w:u w:val="single"/>
        </w:rPr>
        <w:t>S</w:t>
      </w:r>
      <w:r w:rsidR="00CE6F21" w:rsidRPr="00AC0130">
        <w:rPr>
          <w:b/>
          <w:bCs/>
          <w:sz w:val="22"/>
          <w:szCs w:val="22"/>
          <w:u w:val="single"/>
        </w:rPr>
        <w:t xml:space="preserve">          </w:t>
      </w:r>
      <w:r w:rsidRPr="00AC0130">
        <w:rPr>
          <w:b/>
          <w:bCs/>
          <w:sz w:val="22"/>
          <w:szCs w:val="22"/>
          <w:u w:val="single"/>
        </w:rPr>
        <w:t>/</w:t>
      </w:r>
      <w:r w:rsidR="00CE6F21" w:rsidRPr="00AC0130">
        <w:rPr>
          <w:b/>
          <w:bCs/>
          <w:sz w:val="22"/>
          <w:szCs w:val="22"/>
          <w:u w:val="single"/>
        </w:rPr>
        <w:t xml:space="preserve">           </w:t>
      </w:r>
      <w:r w:rsidRPr="00AC0130">
        <w:rPr>
          <w:b/>
          <w:bCs/>
          <w:sz w:val="22"/>
          <w:szCs w:val="22"/>
          <w:u w:val="single"/>
        </w:rPr>
        <w:t>D</w:t>
      </w:r>
    </w:p>
    <w:p w14:paraId="361DDC4A" w14:textId="77777777" w:rsidR="008B661C" w:rsidRPr="00AC0130" w:rsidRDefault="008B661C" w:rsidP="008C2573">
      <w:pPr>
        <w:spacing w:line="360" w:lineRule="auto"/>
        <w:jc w:val="both"/>
        <w:rPr>
          <w:sz w:val="22"/>
          <w:szCs w:val="22"/>
        </w:rPr>
      </w:pPr>
    </w:p>
    <w:p w14:paraId="3298DB73" w14:textId="77777777" w:rsidR="00A97D8A" w:rsidRPr="00AC0130" w:rsidRDefault="00A97D8A" w:rsidP="008C2573">
      <w:pPr>
        <w:spacing w:line="360" w:lineRule="auto"/>
        <w:jc w:val="both"/>
        <w:rPr>
          <w:sz w:val="22"/>
          <w:szCs w:val="22"/>
        </w:rPr>
      </w:pPr>
      <w:r w:rsidRPr="00AC0130">
        <w:rPr>
          <w:sz w:val="22"/>
          <w:szCs w:val="22"/>
        </w:rPr>
        <w:t>De nuestra consideración:</w:t>
      </w:r>
    </w:p>
    <w:p w14:paraId="2D279914" w14:textId="77777777" w:rsidR="00A97D8A" w:rsidRPr="00AC0130" w:rsidRDefault="00A97D8A" w:rsidP="008C2573">
      <w:pPr>
        <w:spacing w:line="360" w:lineRule="auto"/>
        <w:jc w:val="both"/>
        <w:rPr>
          <w:sz w:val="22"/>
          <w:szCs w:val="22"/>
        </w:rPr>
      </w:pPr>
      <w:r w:rsidRPr="00AC0130">
        <w:rPr>
          <w:sz w:val="22"/>
          <w:szCs w:val="22"/>
        </w:rPr>
        <w:t xml:space="preserve">   </w:t>
      </w:r>
      <w:r w:rsidR="005A239A" w:rsidRPr="00AC0130">
        <w:rPr>
          <w:sz w:val="22"/>
          <w:szCs w:val="22"/>
        </w:rPr>
        <w:t xml:space="preserve">                                    </w:t>
      </w:r>
      <w:r w:rsidRPr="00AC0130">
        <w:rPr>
          <w:sz w:val="22"/>
          <w:szCs w:val="22"/>
        </w:rPr>
        <w:t xml:space="preserve">  Remitimos copia del presente proyecto para ser incluida en el orden del día de la próxima sesión.</w:t>
      </w:r>
    </w:p>
    <w:p w14:paraId="632866FC" w14:textId="77777777" w:rsidR="00A97D8A" w:rsidRPr="00AC0130" w:rsidRDefault="00A97D8A" w:rsidP="008C2573">
      <w:pPr>
        <w:spacing w:line="360" w:lineRule="auto"/>
        <w:jc w:val="both"/>
        <w:rPr>
          <w:b/>
          <w:bCs/>
          <w:sz w:val="22"/>
          <w:szCs w:val="22"/>
          <w:u w:val="single"/>
        </w:rPr>
      </w:pPr>
    </w:p>
    <w:p w14:paraId="2003BFC5" w14:textId="3C37C865" w:rsidR="0045465A" w:rsidRPr="00AC0130" w:rsidRDefault="00E02B1A" w:rsidP="008C2573">
      <w:pPr>
        <w:spacing w:line="360" w:lineRule="auto"/>
        <w:jc w:val="center"/>
        <w:rPr>
          <w:b/>
          <w:bCs/>
          <w:sz w:val="22"/>
          <w:szCs w:val="22"/>
          <w:u w:val="single"/>
        </w:rPr>
      </w:pPr>
      <w:r w:rsidRPr="00E02B1A">
        <w:rPr>
          <w:b/>
          <w:bCs/>
          <w:sz w:val="22"/>
          <w:szCs w:val="22"/>
          <w:u w:val="single"/>
        </w:rPr>
        <w:t>Solicitando remisión de la totalidad de las capas del Sistema de Información Geográfica (SIG) municipal correspondientes a los servicios públicos, en tanto información necesaria para el tratamiento por este Cuerpo del Plan de Desarrollo Territorial (PDT).</w:t>
      </w:r>
      <w:r w:rsidR="00AD1036">
        <w:rPr>
          <w:b/>
          <w:bCs/>
          <w:sz w:val="22"/>
          <w:szCs w:val="22"/>
          <w:u w:val="single"/>
        </w:rPr>
        <w:t>.</w:t>
      </w:r>
      <w:r w:rsidR="00CD04AC" w:rsidRPr="00AC0130">
        <w:rPr>
          <w:b/>
          <w:bCs/>
          <w:sz w:val="22"/>
          <w:szCs w:val="22"/>
          <w:u w:val="single"/>
        </w:rPr>
        <w:t>-</w:t>
      </w:r>
    </w:p>
    <w:p w14:paraId="4AE0A376" w14:textId="77777777" w:rsidR="00F44F91" w:rsidRPr="00AC0130" w:rsidRDefault="00F44F91" w:rsidP="008C2573">
      <w:pPr>
        <w:spacing w:line="360" w:lineRule="auto"/>
        <w:jc w:val="both"/>
        <w:rPr>
          <w:b/>
          <w:bCs/>
          <w:sz w:val="22"/>
          <w:szCs w:val="22"/>
          <w:u w:val="single"/>
        </w:rPr>
      </w:pPr>
    </w:p>
    <w:p w14:paraId="6B5B2BFB" w14:textId="77777777" w:rsidR="0085134E" w:rsidRPr="00AC0130" w:rsidRDefault="0085134E" w:rsidP="008C2573">
      <w:pPr>
        <w:spacing w:line="360" w:lineRule="auto"/>
        <w:jc w:val="both"/>
        <w:rPr>
          <w:b/>
          <w:bCs/>
          <w:sz w:val="22"/>
          <w:szCs w:val="22"/>
        </w:rPr>
      </w:pPr>
      <w:r w:rsidRPr="00AC0130">
        <w:rPr>
          <w:b/>
          <w:bCs/>
          <w:sz w:val="22"/>
          <w:szCs w:val="22"/>
        </w:rPr>
        <w:t xml:space="preserve">VISTO:  </w:t>
      </w:r>
    </w:p>
    <w:p w14:paraId="4037A1CA" w14:textId="1D55F930" w:rsidR="008C2573" w:rsidRDefault="00E02B1A" w:rsidP="008C2573">
      <w:pPr>
        <w:spacing w:line="360" w:lineRule="auto"/>
        <w:ind w:firstLine="708"/>
        <w:jc w:val="both"/>
        <w:rPr>
          <w:bCs/>
          <w:sz w:val="22"/>
          <w:szCs w:val="22"/>
        </w:rPr>
      </w:pPr>
      <w:r w:rsidRPr="00E02B1A">
        <w:rPr>
          <w:bCs/>
          <w:sz w:val="22"/>
          <w:szCs w:val="22"/>
        </w:rPr>
        <w:t>El proceso de actualización de la normativa de ordenamiento urbano y territorial del Partido de Chascomús; y</w:t>
      </w:r>
      <w:r>
        <w:rPr>
          <w:bCs/>
          <w:sz w:val="22"/>
          <w:szCs w:val="22"/>
        </w:rPr>
        <w:t>,</w:t>
      </w:r>
    </w:p>
    <w:p w14:paraId="332C81AA" w14:textId="77777777" w:rsidR="00401B48" w:rsidRPr="00401B48" w:rsidRDefault="00401B48" w:rsidP="008C2573">
      <w:pPr>
        <w:spacing w:line="360" w:lineRule="auto"/>
        <w:ind w:firstLine="708"/>
        <w:jc w:val="both"/>
        <w:rPr>
          <w:bCs/>
          <w:sz w:val="22"/>
          <w:szCs w:val="22"/>
        </w:rPr>
      </w:pPr>
    </w:p>
    <w:p w14:paraId="321AA7B0" w14:textId="6A7D595D" w:rsidR="00CD04AC" w:rsidRDefault="0085134E" w:rsidP="008C2573">
      <w:pPr>
        <w:spacing w:line="360" w:lineRule="auto"/>
        <w:jc w:val="both"/>
        <w:rPr>
          <w:b/>
          <w:bCs/>
          <w:sz w:val="22"/>
          <w:szCs w:val="22"/>
        </w:rPr>
      </w:pPr>
      <w:r w:rsidRPr="00AC0130">
        <w:rPr>
          <w:b/>
          <w:bCs/>
          <w:sz w:val="22"/>
          <w:szCs w:val="22"/>
        </w:rPr>
        <w:t>CONSIDERANDO:</w:t>
      </w:r>
    </w:p>
    <w:p w14:paraId="384F31EA" w14:textId="77777777" w:rsidR="00E02B1A" w:rsidRPr="00E02B1A" w:rsidRDefault="00FB6224" w:rsidP="00E02B1A">
      <w:pPr>
        <w:pStyle w:val="isselectedend"/>
        <w:spacing w:line="360" w:lineRule="auto"/>
        <w:jc w:val="both"/>
        <w:rPr>
          <w:bCs/>
          <w:sz w:val="22"/>
          <w:szCs w:val="22"/>
          <w:lang w:val="es-AR"/>
        </w:rPr>
      </w:pPr>
      <w:r w:rsidRPr="00401B48">
        <w:rPr>
          <w:bCs/>
          <w:sz w:val="22"/>
          <w:szCs w:val="22"/>
          <w:lang w:val="es-AR"/>
        </w:rPr>
        <w:tab/>
      </w:r>
      <w:r w:rsidR="00E02B1A" w:rsidRPr="00E02B1A">
        <w:rPr>
          <w:bCs/>
          <w:sz w:val="22"/>
          <w:szCs w:val="22"/>
          <w:lang w:val="es-AR"/>
        </w:rPr>
        <w:t>Que se encuentra en curso el proceso de actualización de la normativa de ordenamiento urbano y territorial del Partido —el PDT—, desarrollado con asistencia técnica de la Universidad Nacional de La Plata y financiamiento del Consejo Federal de Inversiones, cuya aprobación definitiva corresponde a este Honorable Concejo Deliberante mediante la sanción de la ordenanza respectiva;</w:t>
      </w:r>
    </w:p>
    <w:p w14:paraId="513AC110" w14:textId="77777777" w:rsidR="00E02B1A" w:rsidRPr="00E02B1A" w:rsidRDefault="00E02B1A" w:rsidP="00E02B1A">
      <w:pPr>
        <w:pStyle w:val="isselectedend"/>
        <w:spacing w:line="360" w:lineRule="auto"/>
        <w:ind w:firstLine="708"/>
        <w:jc w:val="both"/>
        <w:rPr>
          <w:bCs/>
          <w:sz w:val="22"/>
          <w:szCs w:val="22"/>
          <w:lang w:val="es-AR"/>
        </w:rPr>
      </w:pPr>
      <w:r w:rsidRPr="00E02B1A">
        <w:rPr>
          <w:bCs/>
          <w:sz w:val="22"/>
          <w:szCs w:val="22"/>
          <w:lang w:val="es-AR"/>
        </w:rPr>
        <w:t>Que conforme el Decreto-Ley 8912/77 (Ley de Ordenamiento Territorial y Uso del Suelo de la Provincia de Buenos Aires), la delimitación de áreas y zonas, la asignación de usos del suelo y la fijación de los indicadores urbanísticos se establecen por ordenanza municipal, de modo que el tratamiento del PDT constituye una atribución propia e indelegable de este Cuerpo;</w:t>
      </w:r>
    </w:p>
    <w:p w14:paraId="560D6199" w14:textId="77777777" w:rsidR="00E02B1A" w:rsidRPr="00E02B1A" w:rsidRDefault="00E02B1A" w:rsidP="00E02B1A">
      <w:pPr>
        <w:pStyle w:val="isselectedend"/>
        <w:spacing w:line="360" w:lineRule="auto"/>
        <w:ind w:firstLine="708"/>
        <w:jc w:val="both"/>
        <w:rPr>
          <w:bCs/>
          <w:sz w:val="22"/>
          <w:szCs w:val="22"/>
          <w:lang w:val="es-AR"/>
        </w:rPr>
      </w:pPr>
      <w:r w:rsidRPr="00E02B1A">
        <w:rPr>
          <w:bCs/>
          <w:sz w:val="22"/>
          <w:szCs w:val="22"/>
          <w:lang w:val="es-AR"/>
        </w:rPr>
        <w:t xml:space="preserve">Que un tratamiento fundado —y no meramente formal— de dicho instrumento exige que se disponga de la base cartográfica georreferenciada de la infraestructura y la cobertura de los servicios </w:t>
      </w:r>
      <w:r w:rsidRPr="00E02B1A">
        <w:rPr>
          <w:bCs/>
          <w:sz w:val="22"/>
          <w:szCs w:val="22"/>
          <w:lang w:val="es-AR"/>
        </w:rPr>
        <w:lastRenderedPageBreak/>
        <w:t>públicos existentes, único modo de contrastar el modelo territorial propuesto con la capacidad instalada real del territorio;</w:t>
      </w:r>
    </w:p>
    <w:p w14:paraId="5A65FBCE" w14:textId="77777777" w:rsidR="00E02B1A" w:rsidRPr="00E02B1A" w:rsidRDefault="00E02B1A" w:rsidP="00E02B1A">
      <w:pPr>
        <w:pStyle w:val="isselectedend"/>
        <w:spacing w:line="360" w:lineRule="auto"/>
        <w:ind w:firstLine="708"/>
        <w:jc w:val="both"/>
        <w:rPr>
          <w:bCs/>
          <w:sz w:val="22"/>
          <w:szCs w:val="22"/>
          <w:lang w:val="es-AR"/>
        </w:rPr>
      </w:pPr>
      <w:r w:rsidRPr="00E02B1A">
        <w:rPr>
          <w:bCs/>
          <w:sz w:val="22"/>
          <w:szCs w:val="22"/>
          <w:lang w:val="es-AR"/>
        </w:rPr>
        <w:t>Que el propio diagnóstico técnico elaborado en el marco del PDT contempló, entre sus dimensiones de análisis, la cobertura de los servicios públicos, lo que evidencia que la información georreferenciada aquí requerida existe, ha sido relevada y constituyó insumo del proceso de planificación; resultando institucionalmente incongruente que el órgano llamado a aprobar el plan carezca del mismo insumo que sirvió de base a su elaboración;</w:t>
      </w:r>
    </w:p>
    <w:p w14:paraId="1579E3C8" w14:textId="77777777" w:rsidR="00E02B1A" w:rsidRPr="00E02B1A" w:rsidRDefault="00E02B1A" w:rsidP="00E02B1A">
      <w:pPr>
        <w:pStyle w:val="isselectedend"/>
        <w:spacing w:line="360" w:lineRule="auto"/>
        <w:ind w:firstLine="708"/>
        <w:jc w:val="both"/>
        <w:rPr>
          <w:bCs/>
          <w:sz w:val="22"/>
          <w:szCs w:val="22"/>
          <w:lang w:val="es-AR"/>
        </w:rPr>
      </w:pPr>
      <w:r w:rsidRPr="00E02B1A">
        <w:rPr>
          <w:bCs/>
          <w:sz w:val="22"/>
          <w:szCs w:val="22"/>
          <w:lang w:val="es-AR"/>
        </w:rPr>
        <w:t>Que asimismo, y conforme surge de registros públicos, el Partido de Chascomús cuenta con un Sistema Integral de Información Geográfica Municipal desarrollado con la asistencia técnica de la Dirección de Asuntos Municipales de la Universidad Nacional de La Plata, lo que ratifica que la remisión solicitada no supone la producción de datos nuevos, sino la entrega de información ya sistematizada por la Administración;</w:t>
      </w:r>
    </w:p>
    <w:p w14:paraId="00243040" w14:textId="77777777" w:rsidR="00E02B1A" w:rsidRPr="00E02B1A" w:rsidRDefault="00E02B1A" w:rsidP="00E02B1A">
      <w:pPr>
        <w:pStyle w:val="isselectedend"/>
        <w:spacing w:line="360" w:lineRule="auto"/>
        <w:ind w:firstLine="708"/>
        <w:jc w:val="both"/>
        <w:rPr>
          <w:bCs/>
          <w:sz w:val="22"/>
          <w:szCs w:val="22"/>
          <w:lang w:val="es-AR"/>
        </w:rPr>
      </w:pPr>
      <w:r w:rsidRPr="00E02B1A">
        <w:rPr>
          <w:bCs/>
          <w:sz w:val="22"/>
          <w:szCs w:val="22"/>
          <w:lang w:val="es-AR"/>
        </w:rPr>
        <w:t>Que de acuerdo con los resultados del Censo Nacional de Población, Hogares y Viviendas 2022, el Partido registró un crecimiento poblacional intercensal del orden del +15,9% respecto de 2010, presión demográfica que el PDT debe necesariamente resolver y que impone verificar si la cobertura y la capacidad de los servicios acompañaron dicha expansión, con carácter previo a la definición de nuevas áreas de urbanización o densificación;</w:t>
      </w:r>
    </w:p>
    <w:p w14:paraId="1779C861" w14:textId="075BAA65" w:rsidR="00E02B1A" w:rsidRDefault="00E02B1A" w:rsidP="00E02B1A">
      <w:pPr>
        <w:pStyle w:val="isselectedend"/>
        <w:spacing w:line="360" w:lineRule="auto"/>
        <w:ind w:firstLine="708"/>
        <w:jc w:val="both"/>
        <w:rPr>
          <w:bCs/>
          <w:sz w:val="22"/>
          <w:szCs w:val="22"/>
          <w:lang w:val="es-AR"/>
        </w:rPr>
      </w:pPr>
      <w:r w:rsidRPr="00E02B1A">
        <w:rPr>
          <w:bCs/>
          <w:sz w:val="22"/>
          <w:szCs w:val="22"/>
          <w:lang w:val="es-AR"/>
        </w:rPr>
        <w:t>Que la ausencia de dicha base impediría evaluar la coherencia entre las áreas de expansión, densificación o reserva que proponga el PDT y la efectiva disponibilidad de redes de agua potable, cloacas, desagües pluviales, alumbrado y pavimento, con el consiguiente riesgo de habilitar desarrollos carentes de sustento en infraestructura;</w:t>
      </w:r>
    </w:p>
    <w:p w14:paraId="645CF164" w14:textId="7E0B6DA1" w:rsidR="0085134E" w:rsidRPr="00E02B1A" w:rsidRDefault="00466B30" w:rsidP="00E02B1A">
      <w:pPr>
        <w:pStyle w:val="isselectedend"/>
        <w:spacing w:line="360" w:lineRule="auto"/>
        <w:ind w:firstLine="708"/>
        <w:jc w:val="both"/>
        <w:rPr>
          <w:bCs/>
          <w:sz w:val="22"/>
          <w:szCs w:val="22"/>
          <w:lang w:val="es-AR"/>
        </w:rPr>
      </w:pPr>
      <w:r w:rsidRPr="00E02B1A">
        <w:rPr>
          <w:bCs/>
          <w:sz w:val="22"/>
          <w:szCs w:val="22"/>
          <w:lang w:val="es-AR"/>
        </w:rPr>
        <w:t xml:space="preserve">Por ello, </w:t>
      </w:r>
      <w:r w:rsidRPr="00E02B1A">
        <w:rPr>
          <w:b/>
          <w:bCs/>
          <w:sz w:val="22"/>
          <w:szCs w:val="22"/>
          <w:lang w:val="es-AR"/>
        </w:rPr>
        <w:t xml:space="preserve">los Bloques POTENCIA, y GEN </w:t>
      </w:r>
      <w:r w:rsidRPr="00E02B1A">
        <w:rPr>
          <w:bCs/>
          <w:sz w:val="22"/>
          <w:szCs w:val="22"/>
          <w:lang w:val="es-AR"/>
        </w:rPr>
        <w:t>en atribución a sus facultades que le confiere la Ley Orgánica de las Municipalidades, proponen el siguiente:</w:t>
      </w:r>
    </w:p>
    <w:p w14:paraId="5CA56C88" w14:textId="77777777" w:rsidR="0085134E" w:rsidRPr="00AC0130" w:rsidRDefault="0085134E" w:rsidP="008C2573">
      <w:pPr>
        <w:spacing w:line="360" w:lineRule="auto"/>
        <w:jc w:val="both"/>
        <w:rPr>
          <w:bCs/>
          <w:sz w:val="22"/>
          <w:szCs w:val="22"/>
        </w:rPr>
      </w:pPr>
    </w:p>
    <w:p w14:paraId="51418A20" w14:textId="758603E6" w:rsidR="0085134E" w:rsidRPr="00AC0130" w:rsidRDefault="00401B48" w:rsidP="008C2573">
      <w:pPr>
        <w:spacing w:line="360" w:lineRule="auto"/>
        <w:jc w:val="center"/>
        <w:rPr>
          <w:b/>
          <w:bCs/>
          <w:sz w:val="22"/>
          <w:szCs w:val="22"/>
          <w:u w:val="single"/>
        </w:rPr>
      </w:pPr>
      <w:r>
        <w:rPr>
          <w:b/>
          <w:bCs/>
          <w:sz w:val="22"/>
          <w:szCs w:val="22"/>
          <w:u w:val="single"/>
        </w:rPr>
        <w:t>PROYECTO DE COMUNICACIÓN</w:t>
      </w:r>
      <w:r w:rsidR="0085134E" w:rsidRPr="00AC0130">
        <w:rPr>
          <w:b/>
          <w:bCs/>
          <w:sz w:val="22"/>
          <w:szCs w:val="22"/>
          <w:u w:val="single"/>
        </w:rPr>
        <w:t>:</w:t>
      </w:r>
    </w:p>
    <w:p w14:paraId="6DE9AA29" w14:textId="1A00B7B8" w:rsidR="00E02B1A" w:rsidRPr="00E02B1A" w:rsidRDefault="00A77947" w:rsidP="00E02B1A">
      <w:pPr>
        <w:spacing w:before="100" w:beforeAutospacing="1" w:after="100" w:afterAutospacing="1" w:line="360" w:lineRule="auto"/>
        <w:jc w:val="both"/>
        <w:rPr>
          <w:lang w:val="es-AR" w:eastAsia="en-US"/>
        </w:rPr>
      </w:pPr>
      <w:r w:rsidRPr="00A77947">
        <w:rPr>
          <w:b/>
          <w:lang w:val="es-AR" w:eastAsia="en-US"/>
        </w:rPr>
        <w:t xml:space="preserve">ARTÍCULO 1°: </w:t>
      </w:r>
      <w:bookmarkStart w:id="0" w:name="_GoBack"/>
      <w:bookmarkEnd w:id="0"/>
      <w:r w:rsidR="00E02B1A" w:rsidRPr="00E02B1A">
        <w:rPr>
          <w:lang w:val="es-AR" w:eastAsia="en-US"/>
        </w:rPr>
        <w:t xml:space="preserve">Solicítase al Departamento Ejecutivo que, con carácter previo y como insumo necesario para el tratamiento por este Cuerpo del Plan de Desarrollo Territorial (PDT), y por </w:t>
      </w:r>
      <w:r w:rsidR="00E02B1A" w:rsidRPr="00E02B1A">
        <w:rPr>
          <w:lang w:val="es-AR" w:eastAsia="en-US"/>
        </w:rPr>
        <w:lastRenderedPageBreak/>
        <w:t>intermedio de las áreas competentes —Secretaría o Dirección a cargo del Sistema de Información Geográfica, Catastro, Obras y Servicios Públicos y toda otra que corresponda—, remita a este Honorable Concejo Deliberante la totalidad de las capas de información geográfica (capas vectoriales y sus respectivas tablas de atributos) que integran el Sistema de Información Geográfica municipal y que se refieran, directa o indirectamente, a la infraestructura y prestación de los servicios públicos del distrito.</w:t>
      </w:r>
    </w:p>
    <w:p w14:paraId="3831E1B4" w14:textId="77777777" w:rsidR="00E02B1A" w:rsidRPr="00E02B1A" w:rsidRDefault="00E02B1A" w:rsidP="00E02B1A">
      <w:pPr>
        <w:spacing w:before="100" w:beforeAutospacing="1" w:after="100" w:afterAutospacing="1" w:line="360" w:lineRule="auto"/>
        <w:jc w:val="both"/>
        <w:rPr>
          <w:lang w:val="es-AR" w:eastAsia="en-US"/>
        </w:rPr>
      </w:pPr>
      <w:r w:rsidRPr="00E02B1A">
        <w:rPr>
          <w:b/>
          <w:lang w:val="es-AR" w:eastAsia="en-US"/>
        </w:rPr>
        <w:t>ARTÍCULO 2º.-</w:t>
      </w:r>
      <w:r w:rsidRPr="00E02B1A">
        <w:rPr>
          <w:lang w:val="es-AR" w:eastAsia="en-US"/>
        </w:rPr>
        <w:t xml:space="preserve"> La información requerida en el artículo precedente deberá comprender, con carácter enunciativo y no taxativo, las siguientes capas:</w:t>
      </w:r>
    </w:p>
    <w:p w14:paraId="6CAC8523"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A) Redes de infraestructura</w:t>
      </w:r>
    </w:p>
    <w:p w14:paraId="317C8C3F"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1. Red de agua potable: cañerías troncales y de distribución, diámetros y materiales, válvulas, hidrantes, tanques y estaciones de bombeo, y cobertura por manzana.</w:t>
      </w:r>
    </w:p>
    <w:p w14:paraId="121D2288"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2. Red cloacal: colectores, cámaras, estaciones de bombeo, planta de tratamiento y cobertura.</w:t>
      </w:r>
    </w:p>
    <w:p w14:paraId="02C2867D"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3. Desagües pluviales: conductos, canales, bocas de tormenta, sumideros, cuencas y puntos de descarga.</w:t>
      </w:r>
    </w:p>
    <w:p w14:paraId="7BAE1D08"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4. Alumbrado público: puntos de luz y columnas, tipo de luminaria (LED, sodio, mercurio), potencia y estado.</w:t>
      </w:r>
    </w:p>
    <w:p w14:paraId="619CC1E1"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5. Red de gas natural, en la medida en que el Municipio administre o registre información al respecto.</w:t>
      </w:r>
    </w:p>
    <w:p w14:paraId="55C6BCF6"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B) Vialidad y movilidad</w:t>
      </w:r>
    </w:p>
    <w:p w14:paraId="444C1C9B"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6. Red vial urbana y rural con indicación del tipo de calzada (pavimento asfáltico u hormigón, mejorado, tierra), estado y jerarquía.</w:t>
      </w:r>
    </w:p>
    <w:p w14:paraId="36F24E16"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7. Señalización vial y semáforos.</w:t>
      </w:r>
    </w:p>
    <w:p w14:paraId="08AA6B6D"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lastRenderedPageBreak/>
        <w:t>8. Recorridos y paradas de transporte de administración municipal.</w:t>
      </w:r>
    </w:p>
    <w:p w14:paraId="0CE7E860"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C) Higiene urbana</w:t>
      </w:r>
    </w:p>
    <w:p w14:paraId="37CA720F"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9. Recorridos, frecuencias y zonas de recolección de residuos y de barrido; ubicación de contenedores; y sitios de transferencia y disposición final.</w:t>
      </w:r>
    </w:p>
    <w:p w14:paraId="6C86725A"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D) Espacios verdes y ambiente</w:t>
      </w:r>
    </w:p>
    <w:p w14:paraId="7CDDDCC7"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10. Plazas, parques, paseos y demás espacios verdes públicos.</w:t>
      </w:r>
    </w:p>
    <w:p w14:paraId="666BC8AF"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11. Arbolado público: inventario georreferenciado, en caso de existir.</w:t>
      </w:r>
    </w:p>
    <w:p w14:paraId="4FFECE4B"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12. Sistema de lagunas y borde costero: delimitación, áreas de protección y usos asociados, en cuanto obren en soporte municipal.</w:t>
      </w:r>
    </w:p>
    <w:p w14:paraId="7D3D0296"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E) Seguridad</w:t>
      </w:r>
    </w:p>
    <w:p w14:paraId="2899318D"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13. Cámaras de videovigilancia y su cobertura. En caso de que la ubicación precisa se hallare sujeta a reserva por razones de seguridad, se solicita su remisión agregada por zona o cuadrícula.</w:t>
      </w:r>
    </w:p>
    <w:p w14:paraId="180EA7D8"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F) Equipamiento e inmuebles municipales</w:t>
      </w:r>
    </w:p>
    <w:p w14:paraId="0549D719"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14. Edificios, dependencias e inmuebles del dominio municipal.</w:t>
      </w:r>
    </w:p>
    <w:p w14:paraId="7CCD9473"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15. Establecimientos de salud, educativos y de gestión comunitaria dependientes o de registro municipal.</w:t>
      </w:r>
    </w:p>
    <w:p w14:paraId="75C4ECB8"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G) Base territorial y normativa vigente</w:t>
      </w:r>
    </w:p>
    <w:p w14:paraId="1EBA533F"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16. Parcelario o catastro municipal, nomenclatura de calles y numeración domiciliaria.</w:t>
      </w:r>
    </w:p>
    <w:p w14:paraId="6D1849DD"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17. Zonificación y usos del suelo vigentes en tanto normativa que el PDT viene a actualizar.</w:t>
      </w:r>
    </w:p>
    <w:p w14:paraId="57D6830B"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18. Delimitación de barrios, localidades y radios o zonas de gestión municipal.</w:t>
      </w:r>
    </w:p>
    <w:p w14:paraId="5B6E1C3B" w14:textId="77777777" w:rsidR="00E02B1A" w:rsidRPr="00E02B1A" w:rsidRDefault="00E02B1A" w:rsidP="00E02B1A">
      <w:pPr>
        <w:spacing w:before="100" w:beforeAutospacing="1" w:after="100" w:afterAutospacing="1" w:line="360" w:lineRule="auto"/>
        <w:jc w:val="both"/>
        <w:rPr>
          <w:lang w:val="es-AR" w:eastAsia="en-US"/>
        </w:rPr>
      </w:pPr>
    </w:p>
    <w:p w14:paraId="2A3DD81B" w14:textId="77777777" w:rsidR="00E02B1A" w:rsidRPr="00E02B1A" w:rsidRDefault="00E02B1A" w:rsidP="00E02B1A">
      <w:pPr>
        <w:spacing w:before="100" w:beforeAutospacing="1" w:after="100" w:afterAutospacing="1" w:line="360" w:lineRule="auto"/>
        <w:jc w:val="both"/>
        <w:rPr>
          <w:lang w:val="es-AR" w:eastAsia="en-US"/>
        </w:rPr>
      </w:pPr>
      <w:r w:rsidRPr="00E02B1A">
        <w:rPr>
          <w:b/>
          <w:lang w:val="es-AR" w:eastAsia="en-US"/>
        </w:rPr>
        <w:t>ARTÍCULO 3º</w:t>
      </w:r>
      <w:r w:rsidRPr="00E02B1A">
        <w:rPr>
          <w:lang w:val="es-AR" w:eastAsia="en-US"/>
        </w:rPr>
        <w:t>.- La información deberá remitirse en soporte digital y en formatos geoespaciales abiertos e interoperables —tales como GeoPackage (.gpkg), GeoJSON o Shapefile (.shp), y, para datos tabulares, CSV con geometría—, evitándose su entrega exclusiva en formatos de imagen o PDF que impidan el procesamiento de los datos. Cada capa deberá acompañarse de:</w:t>
      </w:r>
    </w:p>
    <w:p w14:paraId="21984107"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a) su tabla de atributos completa y el diccionario de datos correspondiente;</w:t>
      </w:r>
    </w:p>
    <w:p w14:paraId="69036C60"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b) la indicación del sistema de referencia de coordenadas empleado (por ejemplo, POSGAR 2007 / Faja 5 —EPSG:5347— o WGS 84 —EPSG:4326—);</w:t>
      </w:r>
    </w:p>
    <w:p w14:paraId="43619FFA" w14:textId="77777777" w:rsidR="00E02B1A" w:rsidRPr="00E02B1A" w:rsidRDefault="00E02B1A" w:rsidP="00E02B1A">
      <w:pPr>
        <w:spacing w:before="100" w:beforeAutospacing="1" w:after="100" w:afterAutospacing="1" w:line="360" w:lineRule="auto"/>
        <w:jc w:val="both"/>
        <w:rPr>
          <w:lang w:val="es-AR" w:eastAsia="en-US"/>
        </w:rPr>
      </w:pPr>
      <w:r w:rsidRPr="00E02B1A">
        <w:rPr>
          <w:lang w:val="es-AR" w:eastAsia="en-US"/>
        </w:rPr>
        <w:t>c) sus metadatos —fecha de relevamiento y de última actualización, fuente, escala y área responsable—, con arreglo a los estándares de IDERA.</w:t>
      </w:r>
    </w:p>
    <w:p w14:paraId="13431263" w14:textId="77777777" w:rsidR="00E02B1A" w:rsidRPr="00E02B1A" w:rsidRDefault="00E02B1A" w:rsidP="00E02B1A">
      <w:pPr>
        <w:spacing w:before="100" w:beforeAutospacing="1" w:after="100" w:afterAutospacing="1" w:line="360" w:lineRule="auto"/>
        <w:jc w:val="both"/>
        <w:rPr>
          <w:lang w:val="es-AR" w:eastAsia="en-US"/>
        </w:rPr>
      </w:pPr>
      <w:r w:rsidRPr="00E02B1A">
        <w:rPr>
          <w:b/>
          <w:lang w:val="es-AR" w:eastAsia="en-US"/>
        </w:rPr>
        <w:t>ARTÍCULO 4º.-</w:t>
      </w:r>
      <w:r w:rsidRPr="00E02B1A">
        <w:rPr>
          <w:lang w:val="es-AR" w:eastAsia="en-US"/>
        </w:rPr>
        <w:t xml:space="preserve"> Solicítase asimismo que se informe: a) la denominación de la plataforma o software con que se administra el SIG municipal y el área responsable de su mantenimiento; b) la periodicidad de actualización de cada capa y la fecha de su última actualización; d) el grado de integración del SIG con los sistemas de gestión catastral y tributaria (RAFAM) y con la cartografía de ARBA; e) los convenios vigentes con universidades u organismos —tales como la UNLP o el CFI— vinculados a la producción o el mantenimiento de dicha información; y f) las capas de información geográfica producidas o utilizadas por el equipo técnico en el marco de la elaboración del PDT.</w:t>
      </w:r>
    </w:p>
    <w:p w14:paraId="34FEBD68" w14:textId="6CBF75F6" w:rsidR="008D56A6" w:rsidRPr="008D56A6" w:rsidRDefault="00E02B1A" w:rsidP="00E02B1A">
      <w:pPr>
        <w:spacing w:before="100" w:beforeAutospacing="1" w:after="100" w:afterAutospacing="1" w:line="360" w:lineRule="auto"/>
        <w:jc w:val="both"/>
        <w:rPr>
          <w:lang w:val="es-AR" w:eastAsia="en-US"/>
        </w:rPr>
      </w:pPr>
      <w:r w:rsidRPr="00E02B1A">
        <w:rPr>
          <w:b/>
          <w:lang w:val="es-AR" w:eastAsia="en-US"/>
        </w:rPr>
        <w:t>ARTÍCULO 5º.-</w:t>
      </w:r>
      <w:r w:rsidRPr="00E02B1A">
        <w:rPr>
          <w:lang w:val="es-AR" w:eastAsia="en-US"/>
        </w:rPr>
        <w:t xml:space="preserve"> Atento el estado de avance del proceso de actualización, la remisión solicitada deberá efectuarse con la mayor celeridad y, en todo caso, con anterioridad a la elevación del PDT a este Cuerpo para su tratamiento;</w:t>
      </w:r>
      <w:r>
        <w:rPr>
          <w:lang w:val="es-AR" w:eastAsia="en-US"/>
        </w:rPr>
        <w:t xml:space="preserve"> </w:t>
      </w:r>
    </w:p>
    <w:p w14:paraId="1A99D5B8" w14:textId="059BF99B" w:rsidR="00FA6BA9" w:rsidRPr="00AC0130" w:rsidRDefault="00E02B1A" w:rsidP="008D56A6">
      <w:pPr>
        <w:spacing w:before="100" w:beforeAutospacing="1" w:after="100" w:afterAutospacing="1" w:line="360" w:lineRule="auto"/>
        <w:jc w:val="both"/>
        <w:rPr>
          <w:sz w:val="22"/>
          <w:szCs w:val="22"/>
        </w:rPr>
      </w:pPr>
      <w:r>
        <w:rPr>
          <w:b/>
          <w:lang w:val="es-AR" w:eastAsia="en-US"/>
        </w:rPr>
        <w:t>ARTÍCULO 6</w:t>
      </w:r>
      <w:r w:rsidR="008D56A6" w:rsidRPr="008D56A6">
        <w:rPr>
          <w:b/>
          <w:lang w:val="es-AR" w:eastAsia="en-US"/>
        </w:rPr>
        <w:t>°:</w:t>
      </w:r>
      <w:r w:rsidR="008D56A6" w:rsidRPr="008D56A6">
        <w:rPr>
          <w:lang w:val="es-AR" w:eastAsia="en-US"/>
        </w:rPr>
        <w:t xml:space="preserve"> De forma.</w:t>
      </w:r>
      <w:r w:rsidR="008D56A6">
        <w:rPr>
          <w:lang w:val="es-AR" w:eastAsia="en-US"/>
        </w:rPr>
        <w:t xml:space="preserve"> </w:t>
      </w:r>
    </w:p>
    <w:sectPr w:rsidR="00FA6BA9" w:rsidRPr="00AC0130"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7A5D5" w14:textId="77777777" w:rsidR="00EC3CF6" w:rsidRDefault="00EC3CF6">
      <w:r>
        <w:separator/>
      </w:r>
    </w:p>
  </w:endnote>
  <w:endnote w:type="continuationSeparator" w:id="0">
    <w:p w14:paraId="5FE1D16D" w14:textId="77777777" w:rsidR="00EC3CF6" w:rsidRDefault="00EC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4FAF" w14:textId="77777777" w:rsidR="00BB12B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F33C968" w14:textId="77777777" w:rsidR="00BB12B5" w:rsidRDefault="00BB12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350E23E1" w14:textId="7447E200" w:rsidR="00BB12B5" w:rsidRDefault="003663E3">
        <w:pPr>
          <w:pStyle w:val="Piedepgina"/>
          <w:jc w:val="right"/>
        </w:pPr>
        <w:r>
          <w:rPr>
            <w:noProof/>
          </w:rPr>
          <w:fldChar w:fldCharType="begin"/>
        </w:r>
        <w:r>
          <w:rPr>
            <w:noProof/>
          </w:rPr>
          <w:instrText xml:space="preserve"> PAGE   \* MERGEFORMAT </w:instrText>
        </w:r>
        <w:r>
          <w:rPr>
            <w:noProof/>
          </w:rPr>
          <w:fldChar w:fldCharType="separate"/>
        </w:r>
        <w:r w:rsidR="00E02B1A">
          <w:rPr>
            <w:noProof/>
          </w:rPr>
          <w:t>3</w:t>
        </w:r>
        <w:r>
          <w:rPr>
            <w:noProof/>
          </w:rPr>
          <w:fldChar w:fldCharType="end"/>
        </w:r>
      </w:p>
    </w:sdtContent>
  </w:sdt>
  <w:p w14:paraId="7A833385" w14:textId="77777777" w:rsidR="00BB12B5" w:rsidRDefault="00BB12B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5C51E" w14:textId="77777777" w:rsidR="00EC3CF6" w:rsidRDefault="00EC3CF6">
      <w:r>
        <w:separator/>
      </w:r>
    </w:p>
  </w:footnote>
  <w:footnote w:type="continuationSeparator" w:id="0">
    <w:p w14:paraId="5B585BA0" w14:textId="77777777" w:rsidR="00EC3CF6" w:rsidRDefault="00EC3C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5788" w14:textId="77777777" w:rsidR="00BB12B5" w:rsidRDefault="003663E3" w:rsidP="00EA7F7F">
    <w:pPr>
      <w:jc w:val="center"/>
      <w:rPr>
        <w:color w:val="000000"/>
        <w:sz w:val="22"/>
        <w:szCs w:val="22"/>
      </w:rPr>
    </w:pPr>
    <w:r>
      <w:rPr>
        <w:noProof/>
        <w:color w:val="000000"/>
        <w:sz w:val="22"/>
        <w:szCs w:val="22"/>
        <w:lang w:val="en-US" w:eastAsia="en-US"/>
      </w:rPr>
      <w:drawing>
        <wp:inline distT="0" distB="0" distL="0" distR="0" wp14:anchorId="3A92AAF4" wp14:editId="27B51CAC">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CB3B" w14:textId="77777777" w:rsidR="00BB12B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D977391" w14:textId="77777777" w:rsidR="00BB12B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6397969" w14:textId="77777777" w:rsidR="00BB12B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45F3952C" w14:textId="77777777" w:rsidR="00BB12B5" w:rsidRDefault="003663E3" w:rsidP="00EA7F7F">
    <w:pPr>
      <w:pStyle w:val="Encabezado"/>
      <w:rPr>
        <w:b/>
        <w:bCs/>
      </w:rPr>
    </w:pPr>
    <w:r w:rsidRPr="3AA98127">
      <w:rPr>
        <w:b/>
        <w:bCs/>
      </w:rPr>
      <w:t>“Año 2022 Las Malvinas son Argentinas. 40 años, Soberanía, Homenaje y Respeto”</w:t>
    </w:r>
  </w:p>
  <w:p w14:paraId="2CAEA5A2" w14:textId="77777777" w:rsidR="00BB12B5" w:rsidRDefault="00BB12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21EF" w14:textId="16653F6B" w:rsidR="0085134E" w:rsidRPr="0085134E" w:rsidRDefault="0085134E" w:rsidP="0085134E">
    <w:pPr>
      <w:ind w:left="170"/>
      <w:jc w:val="center"/>
      <w:rPr>
        <w:rFonts w:ascii="Footlight MT Light" w:hAnsi="Footlight MT Light"/>
        <w:color w:val="000000"/>
        <w:sz w:val="20"/>
        <w:szCs w:val="20"/>
        <w:lang w:val="es-AR"/>
      </w:rPr>
    </w:pPr>
    <w:r w:rsidRPr="0085134E">
      <w:rPr>
        <w:rFonts w:ascii="Footlight MT Light" w:hAnsi="Footlight MT Light"/>
        <w:noProof/>
        <w:color w:val="000000"/>
        <w:sz w:val="20"/>
        <w:szCs w:val="20"/>
        <w:lang w:val="en-US" w:eastAsia="en-US"/>
      </w:rPr>
      <w:drawing>
        <wp:inline distT="0" distB="0" distL="0" distR="0" wp14:anchorId="6D774190" wp14:editId="33CB3962">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2F1819A" w14:textId="77777777" w:rsidR="0085134E" w:rsidRPr="0085134E" w:rsidRDefault="0085134E" w:rsidP="0085134E">
    <w:pPr>
      <w:keepNext/>
      <w:ind w:left="170"/>
      <w:jc w:val="center"/>
      <w:outlineLvl w:val="0"/>
      <w:rPr>
        <w:b/>
        <w:bCs/>
        <w:color w:val="000000"/>
        <w:sz w:val="22"/>
        <w:szCs w:val="22"/>
        <w:lang w:val="es-AR"/>
      </w:rPr>
    </w:pPr>
    <w:r w:rsidRPr="0085134E">
      <w:rPr>
        <w:b/>
        <w:bCs/>
        <w:color w:val="000000"/>
        <w:sz w:val="22"/>
        <w:szCs w:val="22"/>
        <w:lang w:val="es-AR"/>
      </w:rPr>
      <w:t>Honorable Concejo Deliberante</w:t>
    </w:r>
  </w:p>
  <w:p w14:paraId="5605B820" w14:textId="19E6AFC0" w:rsidR="0085134E" w:rsidRDefault="0085134E" w:rsidP="0085134E">
    <w:pPr>
      <w:ind w:left="170"/>
      <w:jc w:val="center"/>
      <w:rPr>
        <w:b/>
        <w:bCs/>
        <w:color w:val="000000"/>
        <w:sz w:val="22"/>
        <w:szCs w:val="22"/>
        <w:lang w:val="es-AR"/>
      </w:rPr>
    </w:pPr>
    <w:r>
      <w:rPr>
        <w:b/>
        <w:bCs/>
        <w:color w:val="000000"/>
        <w:sz w:val="22"/>
        <w:szCs w:val="22"/>
        <w:lang w:val="es-AR"/>
      </w:rPr>
      <w:t>Mitre 38</w:t>
    </w:r>
    <w:r w:rsidRPr="0085134E">
      <w:rPr>
        <w:b/>
        <w:bCs/>
        <w:color w:val="000000"/>
        <w:sz w:val="22"/>
        <w:szCs w:val="22"/>
        <w:lang w:val="es-AR"/>
      </w:rPr>
      <w:t xml:space="preserve"> -    Chascomús</w:t>
    </w:r>
  </w:p>
  <w:p w14:paraId="41F12567" w14:textId="7E22AF43" w:rsidR="0085134E" w:rsidRPr="0085134E" w:rsidRDefault="0085134E" w:rsidP="0085134E">
    <w:pPr>
      <w:ind w:left="170"/>
      <w:jc w:val="center"/>
      <w:rPr>
        <w:b/>
        <w:bCs/>
        <w:color w:val="000000"/>
        <w:sz w:val="22"/>
        <w:szCs w:val="22"/>
        <w:lang w:val="es-AR"/>
      </w:rPr>
    </w:pPr>
    <w:r>
      <w:rPr>
        <w:b/>
        <w:bCs/>
        <w:color w:val="000000"/>
        <w:sz w:val="22"/>
        <w:szCs w:val="22"/>
        <w:lang w:val="es-AR"/>
      </w:rPr>
      <w:t>Bloques POTENCIA - GEN</w:t>
    </w:r>
  </w:p>
  <w:p w14:paraId="347592E5" w14:textId="77777777" w:rsidR="0085134E" w:rsidRPr="0085134E" w:rsidRDefault="0085134E" w:rsidP="0085134E">
    <w:pPr>
      <w:ind w:left="170"/>
      <w:jc w:val="center"/>
      <w:rPr>
        <w:b/>
        <w:lang w:val="es-ES_tradnl" w:eastAsia="en-US"/>
      </w:rPr>
    </w:pPr>
    <w:r w:rsidRPr="0085134E">
      <w:rPr>
        <w:b/>
        <w:bCs/>
        <w:color w:val="000000"/>
        <w:sz w:val="22"/>
        <w:szCs w:val="22"/>
        <w:lang w:val="es-AR"/>
      </w:rPr>
      <w:t>“</w:t>
    </w:r>
    <w:r w:rsidRPr="0085134E">
      <w:rPr>
        <w:rFonts w:eastAsia="Calibri"/>
        <w:b/>
        <w:sz w:val="22"/>
        <w:szCs w:val="22"/>
        <w:lang w:eastAsia="en-US"/>
      </w:rPr>
      <w:t>2026: Año del 200° Aniversario de la Escuela Primaria N° 1 “Bernardino Rivadavia”</w:t>
    </w:r>
  </w:p>
  <w:p w14:paraId="4F277274" w14:textId="77777777" w:rsidR="00BB12B5" w:rsidRDefault="00BB12B5">
    <w:pPr>
      <w:jc w:val="center"/>
      <w:rPr>
        <w:b/>
        <w:sz w:val="22"/>
        <w:szCs w:val="22"/>
      </w:rPr>
    </w:pPr>
  </w:p>
  <w:p w14:paraId="375EA8E7" w14:textId="77777777" w:rsidR="00BB12B5" w:rsidRDefault="00BB12B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34AD8"/>
    <w:multiLevelType w:val="multilevel"/>
    <w:tmpl w:val="20C4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1"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12A5F61"/>
    <w:multiLevelType w:val="multilevel"/>
    <w:tmpl w:val="D4A0753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12"/>
  </w:num>
  <w:num w:numId="6">
    <w:abstractNumId w:val="6"/>
  </w:num>
  <w:num w:numId="7">
    <w:abstractNumId w:val="0"/>
  </w:num>
  <w:num w:numId="8">
    <w:abstractNumId w:val="2"/>
  </w:num>
  <w:num w:numId="9">
    <w:abstractNumId w:val="15"/>
  </w:num>
  <w:num w:numId="10">
    <w:abstractNumId w:val="14"/>
  </w:num>
  <w:num w:numId="11">
    <w:abstractNumId w:val="11"/>
  </w:num>
  <w:num w:numId="12">
    <w:abstractNumId w:val="9"/>
  </w:num>
  <w:num w:numId="13">
    <w:abstractNumId w:val="16"/>
  </w:num>
  <w:num w:numId="14">
    <w:abstractNumId w:val="4"/>
  </w:num>
  <w:num w:numId="15">
    <w:abstractNumId w:val="10"/>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2671"/>
    <w:rsid w:val="00005397"/>
    <w:rsid w:val="00011B9F"/>
    <w:rsid w:val="00020439"/>
    <w:rsid w:val="000254BE"/>
    <w:rsid w:val="0005181D"/>
    <w:rsid w:val="00063FF5"/>
    <w:rsid w:val="00076427"/>
    <w:rsid w:val="00081067"/>
    <w:rsid w:val="00082B90"/>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2B9E"/>
    <w:rsid w:val="001734D0"/>
    <w:rsid w:val="00173A72"/>
    <w:rsid w:val="00173D05"/>
    <w:rsid w:val="00177B0B"/>
    <w:rsid w:val="00177DD6"/>
    <w:rsid w:val="0019029C"/>
    <w:rsid w:val="0019050C"/>
    <w:rsid w:val="00194B3E"/>
    <w:rsid w:val="001A7920"/>
    <w:rsid w:val="001C0066"/>
    <w:rsid w:val="001D29A4"/>
    <w:rsid w:val="001D6A51"/>
    <w:rsid w:val="001E1197"/>
    <w:rsid w:val="001E7A7D"/>
    <w:rsid w:val="001E7BBB"/>
    <w:rsid w:val="00202CC9"/>
    <w:rsid w:val="00206027"/>
    <w:rsid w:val="00207886"/>
    <w:rsid w:val="00207CDC"/>
    <w:rsid w:val="0022355B"/>
    <w:rsid w:val="0023599A"/>
    <w:rsid w:val="002541DA"/>
    <w:rsid w:val="0025565B"/>
    <w:rsid w:val="00286BDB"/>
    <w:rsid w:val="00292E58"/>
    <w:rsid w:val="002A0747"/>
    <w:rsid w:val="002A2BC9"/>
    <w:rsid w:val="002A500C"/>
    <w:rsid w:val="002B5A06"/>
    <w:rsid w:val="002C0260"/>
    <w:rsid w:val="002C0A4C"/>
    <w:rsid w:val="002C57C6"/>
    <w:rsid w:val="002C6A6D"/>
    <w:rsid w:val="002D423A"/>
    <w:rsid w:val="002E202E"/>
    <w:rsid w:val="002E6E81"/>
    <w:rsid w:val="002F0529"/>
    <w:rsid w:val="00301255"/>
    <w:rsid w:val="00317017"/>
    <w:rsid w:val="00333D00"/>
    <w:rsid w:val="00341829"/>
    <w:rsid w:val="00345903"/>
    <w:rsid w:val="00353F23"/>
    <w:rsid w:val="003553B3"/>
    <w:rsid w:val="0036512B"/>
    <w:rsid w:val="003663E3"/>
    <w:rsid w:val="003664BD"/>
    <w:rsid w:val="003762CB"/>
    <w:rsid w:val="00381EC3"/>
    <w:rsid w:val="003A7287"/>
    <w:rsid w:val="003B40F5"/>
    <w:rsid w:val="003B5BB0"/>
    <w:rsid w:val="003B7198"/>
    <w:rsid w:val="003B72A1"/>
    <w:rsid w:val="003C05A9"/>
    <w:rsid w:val="003D46BC"/>
    <w:rsid w:val="003D4F5E"/>
    <w:rsid w:val="003D509E"/>
    <w:rsid w:val="003D60B2"/>
    <w:rsid w:val="003E0F6A"/>
    <w:rsid w:val="003E24C6"/>
    <w:rsid w:val="003E681E"/>
    <w:rsid w:val="003F67FC"/>
    <w:rsid w:val="00401B48"/>
    <w:rsid w:val="004046A2"/>
    <w:rsid w:val="004112E7"/>
    <w:rsid w:val="004263DF"/>
    <w:rsid w:val="004271CD"/>
    <w:rsid w:val="004377F2"/>
    <w:rsid w:val="00452482"/>
    <w:rsid w:val="004535A7"/>
    <w:rsid w:val="0045465A"/>
    <w:rsid w:val="00466B30"/>
    <w:rsid w:val="004819E3"/>
    <w:rsid w:val="00497015"/>
    <w:rsid w:val="004A526D"/>
    <w:rsid w:val="004C4225"/>
    <w:rsid w:val="004D3AD3"/>
    <w:rsid w:val="004F2E08"/>
    <w:rsid w:val="004F30A0"/>
    <w:rsid w:val="004F6299"/>
    <w:rsid w:val="004F77D0"/>
    <w:rsid w:val="004F7805"/>
    <w:rsid w:val="0052078C"/>
    <w:rsid w:val="00522CF0"/>
    <w:rsid w:val="005265C7"/>
    <w:rsid w:val="00566DE6"/>
    <w:rsid w:val="00572AFB"/>
    <w:rsid w:val="005757BA"/>
    <w:rsid w:val="00586308"/>
    <w:rsid w:val="005A239A"/>
    <w:rsid w:val="005A2591"/>
    <w:rsid w:val="005B2A75"/>
    <w:rsid w:val="005B2B3D"/>
    <w:rsid w:val="005B5AB5"/>
    <w:rsid w:val="005C03AE"/>
    <w:rsid w:val="005C1547"/>
    <w:rsid w:val="005C531C"/>
    <w:rsid w:val="005D644B"/>
    <w:rsid w:val="005F0CE1"/>
    <w:rsid w:val="006074ED"/>
    <w:rsid w:val="006138E5"/>
    <w:rsid w:val="006165D5"/>
    <w:rsid w:val="00620815"/>
    <w:rsid w:val="00631CFE"/>
    <w:rsid w:val="0063337C"/>
    <w:rsid w:val="00647273"/>
    <w:rsid w:val="00653904"/>
    <w:rsid w:val="00657A44"/>
    <w:rsid w:val="00667D5A"/>
    <w:rsid w:val="00677CD1"/>
    <w:rsid w:val="00690A95"/>
    <w:rsid w:val="00691710"/>
    <w:rsid w:val="00696BA7"/>
    <w:rsid w:val="006A2EB8"/>
    <w:rsid w:val="006A3967"/>
    <w:rsid w:val="006B126A"/>
    <w:rsid w:val="006B384C"/>
    <w:rsid w:val="006B47B6"/>
    <w:rsid w:val="006B5691"/>
    <w:rsid w:val="006C01E1"/>
    <w:rsid w:val="006D0010"/>
    <w:rsid w:val="006D13C7"/>
    <w:rsid w:val="006D4A9E"/>
    <w:rsid w:val="006E6908"/>
    <w:rsid w:val="006F13AD"/>
    <w:rsid w:val="006F1E05"/>
    <w:rsid w:val="006F6712"/>
    <w:rsid w:val="00720A74"/>
    <w:rsid w:val="007235A7"/>
    <w:rsid w:val="007241B9"/>
    <w:rsid w:val="0072570F"/>
    <w:rsid w:val="00734D64"/>
    <w:rsid w:val="00742760"/>
    <w:rsid w:val="00745732"/>
    <w:rsid w:val="0075096F"/>
    <w:rsid w:val="0075760E"/>
    <w:rsid w:val="007577DA"/>
    <w:rsid w:val="00772FDF"/>
    <w:rsid w:val="007746A0"/>
    <w:rsid w:val="00780D63"/>
    <w:rsid w:val="00783F88"/>
    <w:rsid w:val="0079484E"/>
    <w:rsid w:val="007A41DE"/>
    <w:rsid w:val="007A7DBD"/>
    <w:rsid w:val="007B1E56"/>
    <w:rsid w:val="007C186E"/>
    <w:rsid w:val="007C1A3F"/>
    <w:rsid w:val="007D57D5"/>
    <w:rsid w:val="007E1F1A"/>
    <w:rsid w:val="007F166C"/>
    <w:rsid w:val="007F26D8"/>
    <w:rsid w:val="007F2AF5"/>
    <w:rsid w:val="007F7D0A"/>
    <w:rsid w:val="0080380C"/>
    <w:rsid w:val="00815414"/>
    <w:rsid w:val="00822EBA"/>
    <w:rsid w:val="00824D06"/>
    <w:rsid w:val="00830E54"/>
    <w:rsid w:val="00833F05"/>
    <w:rsid w:val="00845C01"/>
    <w:rsid w:val="0085134E"/>
    <w:rsid w:val="00864105"/>
    <w:rsid w:val="008666DB"/>
    <w:rsid w:val="00872343"/>
    <w:rsid w:val="008728EB"/>
    <w:rsid w:val="0088701F"/>
    <w:rsid w:val="00894ABD"/>
    <w:rsid w:val="00895FA2"/>
    <w:rsid w:val="008A2AD2"/>
    <w:rsid w:val="008A5881"/>
    <w:rsid w:val="008B39E0"/>
    <w:rsid w:val="008B661C"/>
    <w:rsid w:val="008C2573"/>
    <w:rsid w:val="008C4B0A"/>
    <w:rsid w:val="008D287F"/>
    <w:rsid w:val="008D56A6"/>
    <w:rsid w:val="008D6955"/>
    <w:rsid w:val="008E65DB"/>
    <w:rsid w:val="008F0DBE"/>
    <w:rsid w:val="008F71B6"/>
    <w:rsid w:val="009151CB"/>
    <w:rsid w:val="00917F03"/>
    <w:rsid w:val="00920820"/>
    <w:rsid w:val="0092379A"/>
    <w:rsid w:val="00924657"/>
    <w:rsid w:val="009249BC"/>
    <w:rsid w:val="00943FD3"/>
    <w:rsid w:val="00952EAE"/>
    <w:rsid w:val="009572F2"/>
    <w:rsid w:val="009627FD"/>
    <w:rsid w:val="009703AE"/>
    <w:rsid w:val="00983A2A"/>
    <w:rsid w:val="00993B0D"/>
    <w:rsid w:val="00995F77"/>
    <w:rsid w:val="009A170F"/>
    <w:rsid w:val="009A5B2D"/>
    <w:rsid w:val="009B08E7"/>
    <w:rsid w:val="009B34D6"/>
    <w:rsid w:val="009C2230"/>
    <w:rsid w:val="009C328D"/>
    <w:rsid w:val="009C6330"/>
    <w:rsid w:val="009D053D"/>
    <w:rsid w:val="009E1C5A"/>
    <w:rsid w:val="009F04A4"/>
    <w:rsid w:val="009F536A"/>
    <w:rsid w:val="009F6886"/>
    <w:rsid w:val="00A11D4D"/>
    <w:rsid w:val="00A161B7"/>
    <w:rsid w:val="00A21F27"/>
    <w:rsid w:val="00A26F57"/>
    <w:rsid w:val="00A2701B"/>
    <w:rsid w:val="00A3192A"/>
    <w:rsid w:val="00A34AB1"/>
    <w:rsid w:val="00A358BB"/>
    <w:rsid w:val="00A53955"/>
    <w:rsid w:val="00A742CB"/>
    <w:rsid w:val="00A77947"/>
    <w:rsid w:val="00A84F06"/>
    <w:rsid w:val="00A95ECE"/>
    <w:rsid w:val="00A97D8A"/>
    <w:rsid w:val="00AA3722"/>
    <w:rsid w:val="00AA75AF"/>
    <w:rsid w:val="00AB0D4A"/>
    <w:rsid w:val="00AB0F7B"/>
    <w:rsid w:val="00AB51E7"/>
    <w:rsid w:val="00AC0130"/>
    <w:rsid w:val="00AC3595"/>
    <w:rsid w:val="00AC3D91"/>
    <w:rsid w:val="00AD0A88"/>
    <w:rsid w:val="00AD1036"/>
    <w:rsid w:val="00AD1633"/>
    <w:rsid w:val="00AD50F4"/>
    <w:rsid w:val="00AE38FB"/>
    <w:rsid w:val="00AF0611"/>
    <w:rsid w:val="00B016CE"/>
    <w:rsid w:val="00B02D62"/>
    <w:rsid w:val="00B153BA"/>
    <w:rsid w:val="00B227C9"/>
    <w:rsid w:val="00B3094B"/>
    <w:rsid w:val="00B33EE0"/>
    <w:rsid w:val="00B35CCB"/>
    <w:rsid w:val="00B376D9"/>
    <w:rsid w:val="00B42BD3"/>
    <w:rsid w:val="00B44DED"/>
    <w:rsid w:val="00B61420"/>
    <w:rsid w:val="00B63AD9"/>
    <w:rsid w:val="00B718D2"/>
    <w:rsid w:val="00B74D5E"/>
    <w:rsid w:val="00B87AAB"/>
    <w:rsid w:val="00B943CF"/>
    <w:rsid w:val="00B94D41"/>
    <w:rsid w:val="00BB0D75"/>
    <w:rsid w:val="00BB12B5"/>
    <w:rsid w:val="00BC104C"/>
    <w:rsid w:val="00BF404C"/>
    <w:rsid w:val="00C01D01"/>
    <w:rsid w:val="00C03172"/>
    <w:rsid w:val="00C04BF5"/>
    <w:rsid w:val="00C134A7"/>
    <w:rsid w:val="00C169CB"/>
    <w:rsid w:val="00C20029"/>
    <w:rsid w:val="00C470EB"/>
    <w:rsid w:val="00C53FBD"/>
    <w:rsid w:val="00C95D59"/>
    <w:rsid w:val="00CA0202"/>
    <w:rsid w:val="00CA3296"/>
    <w:rsid w:val="00CA469B"/>
    <w:rsid w:val="00CB469A"/>
    <w:rsid w:val="00CC5E7A"/>
    <w:rsid w:val="00CD04AC"/>
    <w:rsid w:val="00CD287A"/>
    <w:rsid w:val="00CE5EF5"/>
    <w:rsid w:val="00CE6F21"/>
    <w:rsid w:val="00CF0991"/>
    <w:rsid w:val="00CF494F"/>
    <w:rsid w:val="00D0740E"/>
    <w:rsid w:val="00D34F71"/>
    <w:rsid w:val="00D365CA"/>
    <w:rsid w:val="00D512B9"/>
    <w:rsid w:val="00D51A35"/>
    <w:rsid w:val="00D520BF"/>
    <w:rsid w:val="00D61364"/>
    <w:rsid w:val="00D666E5"/>
    <w:rsid w:val="00D81BFD"/>
    <w:rsid w:val="00D86A3B"/>
    <w:rsid w:val="00DA1489"/>
    <w:rsid w:val="00DB4CCC"/>
    <w:rsid w:val="00DD5349"/>
    <w:rsid w:val="00DF011C"/>
    <w:rsid w:val="00DF09DB"/>
    <w:rsid w:val="00E029AF"/>
    <w:rsid w:val="00E02B1A"/>
    <w:rsid w:val="00E066BD"/>
    <w:rsid w:val="00E1609C"/>
    <w:rsid w:val="00E3228D"/>
    <w:rsid w:val="00E3228F"/>
    <w:rsid w:val="00E36081"/>
    <w:rsid w:val="00E42137"/>
    <w:rsid w:val="00E45641"/>
    <w:rsid w:val="00E553BE"/>
    <w:rsid w:val="00E57A0D"/>
    <w:rsid w:val="00E61348"/>
    <w:rsid w:val="00E6591D"/>
    <w:rsid w:val="00E80DAE"/>
    <w:rsid w:val="00E865DC"/>
    <w:rsid w:val="00E93B79"/>
    <w:rsid w:val="00E972EC"/>
    <w:rsid w:val="00EA04FC"/>
    <w:rsid w:val="00EA1253"/>
    <w:rsid w:val="00EA27AC"/>
    <w:rsid w:val="00EA788B"/>
    <w:rsid w:val="00EC3CF6"/>
    <w:rsid w:val="00ED1853"/>
    <w:rsid w:val="00ED19F6"/>
    <w:rsid w:val="00ED28C2"/>
    <w:rsid w:val="00EE2EF5"/>
    <w:rsid w:val="00EE68B1"/>
    <w:rsid w:val="00EF3782"/>
    <w:rsid w:val="00EF3C91"/>
    <w:rsid w:val="00F04758"/>
    <w:rsid w:val="00F155E7"/>
    <w:rsid w:val="00F211A5"/>
    <w:rsid w:val="00F24CCA"/>
    <w:rsid w:val="00F328C0"/>
    <w:rsid w:val="00F34703"/>
    <w:rsid w:val="00F44F91"/>
    <w:rsid w:val="00F47E4E"/>
    <w:rsid w:val="00F555F6"/>
    <w:rsid w:val="00F56BB6"/>
    <w:rsid w:val="00F6593F"/>
    <w:rsid w:val="00F7575E"/>
    <w:rsid w:val="00F849CD"/>
    <w:rsid w:val="00F87372"/>
    <w:rsid w:val="00F913DC"/>
    <w:rsid w:val="00F922A9"/>
    <w:rsid w:val="00FA5093"/>
    <w:rsid w:val="00FA6BA9"/>
    <w:rsid w:val="00FB6224"/>
    <w:rsid w:val="00FB624C"/>
    <w:rsid w:val="00FC2910"/>
    <w:rsid w:val="00FC2DED"/>
    <w:rsid w:val="00FC6A8A"/>
    <w:rsid w:val="00FC7B10"/>
    <w:rsid w:val="00FE1CA6"/>
    <w:rsid w:val="00FE6897"/>
    <w:rsid w:val="00FE70EF"/>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9955"/>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 w:type="paragraph" w:customStyle="1" w:styleId="isselectedend">
    <w:name w:val="isselectedend"/>
    <w:basedOn w:val="Normal"/>
    <w:rsid w:val="00466B3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76904267">
      <w:bodyDiv w:val="1"/>
      <w:marLeft w:val="0"/>
      <w:marRight w:val="0"/>
      <w:marTop w:val="0"/>
      <w:marBottom w:val="0"/>
      <w:divBdr>
        <w:top w:val="none" w:sz="0" w:space="0" w:color="auto"/>
        <w:left w:val="none" w:sz="0" w:space="0" w:color="auto"/>
        <w:bottom w:val="none" w:sz="0" w:space="0" w:color="auto"/>
        <w:right w:val="none" w:sz="0" w:space="0" w:color="auto"/>
      </w:divBdr>
    </w:div>
    <w:div w:id="105736565">
      <w:bodyDiv w:val="1"/>
      <w:marLeft w:val="0"/>
      <w:marRight w:val="0"/>
      <w:marTop w:val="0"/>
      <w:marBottom w:val="0"/>
      <w:divBdr>
        <w:top w:val="none" w:sz="0" w:space="0" w:color="auto"/>
        <w:left w:val="none" w:sz="0" w:space="0" w:color="auto"/>
        <w:bottom w:val="none" w:sz="0" w:space="0" w:color="auto"/>
        <w:right w:val="none" w:sz="0" w:space="0" w:color="auto"/>
      </w:divBdr>
    </w:div>
    <w:div w:id="149371492">
      <w:bodyDiv w:val="1"/>
      <w:marLeft w:val="0"/>
      <w:marRight w:val="0"/>
      <w:marTop w:val="0"/>
      <w:marBottom w:val="0"/>
      <w:divBdr>
        <w:top w:val="none" w:sz="0" w:space="0" w:color="auto"/>
        <w:left w:val="none" w:sz="0" w:space="0" w:color="auto"/>
        <w:bottom w:val="none" w:sz="0" w:space="0" w:color="auto"/>
        <w:right w:val="none" w:sz="0" w:space="0" w:color="auto"/>
      </w:divBdr>
    </w:div>
    <w:div w:id="203293755">
      <w:bodyDiv w:val="1"/>
      <w:marLeft w:val="0"/>
      <w:marRight w:val="0"/>
      <w:marTop w:val="0"/>
      <w:marBottom w:val="0"/>
      <w:divBdr>
        <w:top w:val="none" w:sz="0" w:space="0" w:color="auto"/>
        <w:left w:val="none" w:sz="0" w:space="0" w:color="auto"/>
        <w:bottom w:val="none" w:sz="0" w:space="0" w:color="auto"/>
        <w:right w:val="none" w:sz="0" w:space="0" w:color="auto"/>
      </w:divBdr>
    </w:div>
    <w:div w:id="248121027">
      <w:bodyDiv w:val="1"/>
      <w:marLeft w:val="0"/>
      <w:marRight w:val="0"/>
      <w:marTop w:val="0"/>
      <w:marBottom w:val="0"/>
      <w:divBdr>
        <w:top w:val="none" w:sz="0" w:space="0" w:color="auto"/>
        <w:left w:val="none" w:sz="0" w:space="0" w:color="auto"/>
        <w:bottom w:val="none" w:sz="0" w:space="0" w:color="auto"/>
        <w:right w:val="none" w:sz="0" w:space="0" w:color="auto"/>
      </w:divBdr>
    </w:div>
    <w:div w:id="278922735">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317463057">
      <w:bodyDiv w:val="1"/>
      <w:marLeft w:val="0"/>
      <w:marRight w:val="0"/>
      <w:marTop w:val="0"/>
      <w:marBottom w:val="0"/>
      <w:divBdr>
        <w:top w:val="none" w:sz="0" w:space="0" w:color="auto"/>
        <w:left w:val="none" w:sz="0" w:space="0" w:color="auto"/>
        <w:bottom w:val="none" w:sz="0" w:space="0" w:color="auto"/>
        <w:right w:val="none" w:sz="0" w:space="0" w:color="auto"/>
      </w:divBdr>
    </w:div>
    <w:div w:id="400912744">
      <w:bodyDiv w:val="1"/>
      <w:marLeft w:val="0"/>
      <w:marRight w:val="0"/>
      <w:marTop w:val="0"/>
      <w:marBottom w:val="0"/>
      <w:divBdr>
        <w:top w:val="none" w:sz="0" w:space="0" w:color="auto"/>
        <w:left w:val="none" w:sz="0" w:space="0" w:color="auto"/>
        <w:bottom w:val="none" w:sz="0" w:space="0" w:color="auto"/>
        <w:right w:val="none" w:sz="0" w:space="0" w:color="auto"/>
      </w:divBdr>
    </w:div>
    <w:div w:id="502623145">
      <w:bodyDiv w:val="1"/>
      <w:marLeft w:val="0"/>
      <w:marRight w:val="0"/>
      <w:marTop w:val="0"/>
      <w:marBottom w:val="0"/>
      <w:divBdr>
        <w:top w:val="none" w:sz="0" w:space="0" w:color="auto"/>
        <w:left w:val="none" w:sz="0" w:space="0" w:color="auto"/>
        <w:bottom w:val="none" w:sz="0" w:space="0" w:color="auto"/>
        <w:right w:val="none" w:sz="0" w:space="0" w:color="auto"/>
      </w:divBdr>
    </w:div>
    <w:div w:id="669480580">
      <w:bodyDiv w:val="1"/>
      <w:marLeft w:val="0"/>
      <w:marRight w:val="0"/>
      <w:marTop w:val="0"/>
      <w:marBottom w:val="0"/>
      <w:divBdr>
        <w:top w:val="none" w:sz="0" w:space="0" w:color="auto"/>
        <w:left w:val="none" w:sz="0" w:space="0" w:color="auto"/>
        <w:bottom w:val="none" w:sz="0" w:space="0" w:color="auto"/>
        <w:right w:val="none" w:sz="0" w:space="0" w:color="auto"/>
      </w:divBdr>
    </w:div>
    <w:div w:id="716853714">
      <w:bodyDiv w:val="1"/>
      <w:marLeft w:val="0"/>
      <w:marRight w:val="0"/>
      <w:marTop w:val="0"/>
      <w:marBottom w:val="0"/>
      <w:divBdr>
        <w:top w:val="none" w:sz="0" w:space="0" w:color="auto"/>
        <w:left w:val="none" w:sz="0" w:space="0" w:color="auto"/>
        <w:bottom w:val="none" w:sz="0" w:space="0" w:color="auto"/>
        <w:right w:val="none" w:sz="0" w:space="0" w:color="auto"/>
      </w:divBdr>
    </w:div>
    <w:div w:id="724648065">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2274095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51475789">
      <w:bodyDiv w:val="1"/>
      <w:marLeft w:val="0"/>
      <w:marRight w:val="0"/>
      <w:marTop w:val="0"/>
      <w:marBottom w:val="0"/>
      <w:divBdr>
        <w:top w:val="none" w:sz="0" w:space="0" w:color="auto"/>
        <w:left w:val="none" w:sz="0" w:space="0" w:color="auto"/>
        <w:bottom w:val="none" w:sz="0" w:space="0" w:color="auto"/>
        <w:right w:val="none" w:sz="0" w:space="0" w:color="auto"/>
      </w:divBdr>
    </w:div>
    <w:div w:id="1005286310">
      <w:bodyDiv w:val="1"/>
      <w:marLeft w:val="0"/>
      <w:marRight w:val="0"/>
      <w:marTop w:val="0"/>
      <w:marBottom w:val="0"/>
      <w:divBdr>
        <w:top w:val="none" w:sz="0" w:space="0" w:color="auto"/>
        <w:left w:val="none" w:sz="0" w:space="0" w:color="auto"/>
        <w:bottom w:val="none" w:sz="0" w:space="0" w:color="auto"/>
        <w:right w:val="none" w:sz="0" w:space="0" w:color="auto"/>
      </w:divBdr>
    </w:div>
    <w:div w:id="1029380706">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174104053">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0999388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284309898">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317958584">
      <w:bodyDiv w:val="1"/>
      <w:marLeft w:val="0"/>
      <w:marRight w:val="0"/>
      <w:marTop w:val="0"/>
      <w:marBottom w:val="0"/>
      <w:divBdr>
        <w:top w:val="none" w:sz="0" w:space="0" w:color="auto"/>
        <w:left w:val="none" w:sz="0" w:space="0" w:color="auto"/>
        <w:bottom w:val="none" w:sz="0" w:space="0" w:color="auto"/>
        <w:right w:val="none" w:sz="0" w:space="0" w:color="auto"/>
      </w:divBdr>
    </w:div>
    <w:div w:id="1321731843">
      <w:bodyDiv w:val="1"/>
      <w:marLeft w:val="0"/>
      <w:marRight w:val="0"/>
      <w:marTop w:val="0"/>
      <w:marBottom w:val="0"/>
      <w:divBdr>
        <w:top w:val="none" w:sz="0" w:space="0" w:color="auto"/>
        <w:left w:val="none" w:sz="0" w:space="0" w:color="auto"/>
        <w:bottom w:val="none" w:sz="0" w:space="0" w:color="auto"/>
        <w:right w:val="none" w:sz="0" w:space="0" w:color="auto"/>
      </w:divBdr>
    </w:div>
    <w:div w:id="1374882628">
      <w:bodyDiv w:val="1"/>
      <w:marLeft w:val="0"/>
      <w:marRight w:val="0"/>
      <w:marTop w:val="0"/>
      <w:marBottom w:val="0"/>
      <w:divBdr>
        <w:top w:val="none" w:sz="0" w:space="0" w:color="auto"/>
        <w:left w:val="none" w:sz="0" w:space="0" w:color="auto"/>
        <w:bottom w:val="none" w:sz="0" w:space="0" w:color="auto"/>
        <w:right w:val="none" w:sz="0" w:space="0" w:color="auto"/>
      </w:divBdr>
    </w:div>
    <w:div w:id="1559314773">
      <w:bodyDiv w:val="1"/>
      <w:marLeft w:val="0"/>
      <w:marRight w:val="0"/>
      <w:marTop w:val="0"/>
      <w:marBottom w:val="0"/>
      <w:divBdr>
        <w:top w:val="none" w:sz="0" w:space="0" w:color="auto"/>
        <w:left w:val="none" w:sz="0" w:space="0" w:color="auto"/>
        <w:bottom w:val="none" w:sz="0" w:space="0" w:color="auto"/>
        <w:right w:val="none" w:sz="0" w:space="0" w:color="auto"/>
      </w:divBdr>
    </w:div>
    <w:div w:id="1638416340">
      <w:bodyDiv w:val="1"/>
      <w:marLeft w:val="0"/>
      <w:marRight w:val="0"/>
      <w:marTop w:val="0"/>
      <w:marBottom w:val="0"/>
      <w:divBdr>
        <w:top w:val="none" w:sz="0" w:space="0" w:color="auto"/>
        <w:left w:val="none" w:sz="0" w:space="0" w:color="auto"/>
        <w:bottom w:val="none" w:sz="0" w:space="0" w:color="auto"/>
        <w:right w:val="none" w:sz="0" w:space="0" w:color="auto"/>
      </w:divBdr>
    </w:div>
    <w:div w:id="1675765934">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753887220">
      <w:bodyDiv w:val="1"/>
      <w:marLeft w:val="0"/>
      <w:marRight w:val="0"/>
      <w:marTop w:val="0"/>
      <w:marBottom w:val="0"/>
      <w:divBdr>
        <w:top w:val="none" w:sz="0" w:space="0" w:color="auto"/>
        <w:left w:val="none" w:sz="0" w:space="0" w:color="auto"/>
        <w:bottom w:val="none" w:sz="0" w:space="0" w:color="auto"/>
        <w:right w:val="none" w:sz="0" w:space="0" w:color="auto"/>
      </w:divBdr>
    </w:div>
    <w:div w:id="1774932316">
      <w:bodyDiv w:val="1"/>
      <w:marLeft w:val="0"/>
      <w:marRight w:val="0"/>
      <w:marTop w:val="0"/>
      <w:marBottom w:val="0"/>
      <w:divBdr>
        <w:top w:val="none" w:sz="0" w:space="0" w:color="auto"/>
        <w:left w:val="none" w:sz="0" w:space="0" w:color="auto"/>
        <w:bottom w:val="none" w:sz="0" w:space="0" w:color="auto"/>
        <w:right w:val="none" w:sz="0" w:space="0" w:color="auto"/>
      </w:divBdr>
    </w:div>
    <w:div w:id="1801919019">
      <w:bodyDiv w:val="1"/>
      <w:marLeft w:val="0"/>
      <w:marRight w:val="0"/>
      <w:marTop w:val="0"/>
      <w:marBottom w:val="0"/>
      <w:divBdr>
        <w:top w:val="none" w:sz="0" w:space="0" w:color="auto"/>
        <w:left w:val="none" w:sz="0" w:space="0" w:color="auto"/>
        <w:bottom w:val="none" w:sz="0" w:space="0" w:color="auto"/>
        <w:right w:val="none" w:sz="0" w:space="0" w:color="auto"/>
      </w:divBdr>
    </w:div>
    <w:div w:id="1879001524">
      <w:bodyDiv w:val="1"/>
      <w:marLeft w:val="0"/>
      <w:marRight w:val="0"/>
      <w:marTop w:val="0"/>
      <w:marBottom w:val="0"/>
      <w:divBdr>
        <w:top w:val="none" w:sz="0" w:space="0" w:color="auto"/>
        <w:left w:val="none" w:sz="0" w:space="0" w:color="auto"/>
        <w:bottom w:val="none" w:sz="0" w:space="0" w:color="auto"/>
        <w:right w:val="none" w:sz="0" w:space="0" w:color="auto"/>
      </w:divBdr>
    </w:div>
    <w:div w:id="2037147718">
      <w:bodyDiv w:val="1"/>
      <w:marLeft w:val="0"/>
      <w:marRight w:val="0"/>
      <w:marTop w:val="0"/>
      <w:marBottom w:val="0"/>
      <w:divBdr>
        <w:top w:val="none" w:sz="0" w:space="0" w:color="auto"/>
        <w:left w:val="none" w:sz="0" w:space="0" w:color="auto"/>
        <w:bottom w:val="none" w:sz="0" w:space="0" w:color="auto"/>
        <w:right w:val="none" w:sz="0" w:space="0" w:color="auto"/>
      </w:divBdr>
    </w:div>
    <w:div w:id="2095474970">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38332015">
      <w:bodyDiv w:val="1"/>
      <w:marLeft w:val="0"/>
      <w:marRight w:val="0"/>
      <w:marTop w:val="0"/>
      <w:marBottom w:val="0"/>
      <w:divBdr>
        <w:top w:val="none" w:sz="0" w:space="0" w:color="auto"/>
        <w:left w:val="none" w:sz="0" w:space="0" w:color="auto"/>
        <w:bottom w:val="none" w:sz="0" w:space="0" w:color="auto"/>
        <w:right w:val="none" w:sz="0" w:space="0" w:color="auto"/>
      </w:divBdr>
    </w:div>
    <w:div w:id="2143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1214</Words>
  <Characters>6920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Delfina</cp:lastModifiedBy>
  <cp:revision>2</cp:revision>
  <cp:lastPrinted>2023-12-12T04:06:00Z</cp:lastPrinted>
  <dcterms:created xsi:type="dcterms:W3CDTF">2026-07-06T15:48:00Z</dcterms:created>
  <dcterms:modified xsi:type="dcterms:W3CDTF">2026-07-06T15:48:00Z</dcterms:modified>
</cp:coreProperties>
</file>