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3EF3376" w:rsidR="00A97D8A" w:rsidRPr="00AC0130" w:rsidRDefault="00A97D8A" w:rsidP="008C2573">
      <w:pPr>
        <w:spacing w:line="360" w:lineRule="auto"/>
        <w:jc w:val="right"/>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8C2573">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8C2573">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8C2573">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8C2573">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8C2573">
      <w:pPr>
        <w:spacing w:line="360" w:lineRule="auto"/>
        <w:jc w:val="both"/>
        <w:rPr>
          <w:sz w:val="22"/>
          <w:szCs w:val="22"/>
        </w:rPr>
      </w:pPr>
    </w:p>
    <w:p w14:paraId="3298DB73" w14:textId="77777777" w:rsidR="00A97D8A" w:rsidRPr="00AC0130" w:rsidRDefault="00A97D8A" w:rsidP="008C2573">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8C2573">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8C2573">
      <w:pPr>
        <w:spacing w:line="360" w:lineRule="auto"/>
        <w:jc w:val="both"/>
        <w:rPr>
          <w:b/>
          <w:bCs/>
          <w:sz w:val="22"/>
          <w:szCs w:val="22"/>
          <w:u w:val="single"/>
        </w:rPr>
      </w:pPr>
    </w:p>
    <w:p w14:paraId="2003BFC5" w14:textId="789C733D" w:rsidR="0045465A" w:rsidRPr="00AC0130" w:rsidRDefault="008D56A6" w:rsidP="008C2573">
      <w:pPr>
        <w:spacing w:line="360" w:lineRule="auto"/>
        <w:jc w:val="center"/>
        <w:rPr>
          <w:b/>
          <w:bCs/>
          <w:sz w:val="22"/>
          <w:szCs w:val="22"/>
          <w:u w:val="single"/>
        </w:rPr>
      </w:pPr>
      <w:r w:rsidRPr="008D56A6">
        <w:rPr>
          <w:b/>
          <w:bCs/>
          <w:sz w:val="22"/>
          <w:szCs w:val="22"/>
          <w:u w:val="single"/>
        </w:rPr>
        <w:t>Requiere informe estadística y resultados del centro de monitoreo municipal</w:t>
      </w:r>
      <w:r w:rsidR="00AD1036">
        <w:rPr>
          <w:b/>
          <w:bCs/>
          <w:sz w:val="22"/>
          <w:szCs w:val="22"/>
          <w:u w:val="single"/>
        </w:rPr>
        <w:t>.</w:t>
      </w:r>
      <w:r w:rsidR="00CD04AC" w:rsidRPr="00AC0130">
        <w:rPr>
          <w:b/>
          <w:bCs/>
          <w:sz w:val="22"/>
          <w:szCs w:val="22"/>
          <w:u w:val="single"/>
        </w:rPr>
        <w:t>-</w:t>
      </w:r>
    </w:p>
    <w:p w14:paraId="4AE0A376" w14:textId="77777777" w:rsidR="00F44F91" w:rsidRPr="00AC0130" w:rsidRDefault="00F44F91" w:rsidP="008C2573">
      <w:pPr>
        <w:spacing w:line="360" w:lineRule="auto"/>
        <w:jc w:val="both"/>
        <w:rPr>
          <w:b/>
          <w:bCs/>
          <w:sz w:val="22"/>
          <w:szCs w:val="22"/>
          <w:u w:val="single"/>
        </w:rPr>
      </w:pPr>
    </w:p>
    <w:p w14:paraId="6B5B2BFB" w14:textId="77777777" w:rsidR="0085134E" w:rsidRPr="00AC0130" w:rsidRDefault="0085134E" w:rsidP="008C2573">
      <w:pPr>
        <w:spacing w:line="360" w:lineRule="auto"/>
        <w:jc w:val="both"/>
        <w:rPr>
          <w:b/>
          <w:bCs/>
          <w:sz w:val="22"/>
          <w:szCs w:val="22"/>
        </w:rPr>
      </w:pPr>
      <w:r w:rsidRPr="00AC0130">
        <w:rPr>
          <w:b/>
          <w:bCs/>
          <w:sz w:val="22"/>
          <w:szCs w:val="22"/>
        </w:rPr>
        <w:t xml:space="preserve">VISTO:  </w:t>
      </w:r>
    </w:p>
    <w:p w14:paraId="4037A1CA" w14:textId="4D5D6EE0" w:rsidR="008C2573" w:rsidRDefault="008D56A6" w:rsidP="008C2573">
      <w:pPr>
        <w:spacing w:line="360" w:lineRule="auto"/>
        <w:ind w:firstLine="708"/>
        <w:jc w:val="both"/>
        <w:rPr>
          <w:bCs/>
          <w:sz w:val="22"/>
          <w:szCs w:val="22"/>
        </w:rPr>
      </w:pPr>
      <w:r w:rsidRPr="008D56A6">
        <w:rPr>
          <w:bCs/>
          <w:sz w:val="22"/>
          <w:szCs w:val="22"/>
        </w:rPr>
        <w:t>El sistema municipal de videovigilancia y su centro de monitoreo; la significativa inversión de fondos públicos comprometida en su implementación, operación y mantenimiento; y</w:t>
      </w:r>
      <w:r>
        <w:rPr>
          <w:bCs/>
          <w:sz w:val="22"/>
          <w:szCs w:val="22"/>
        </w:rPr>
        <w:t>,</w:t>
      </w:r>
    </w:p>
    <w:p w14:paraId="332C81AA" w14:textId="77777777" w:rsidR="00401B48" w:rsidRPr="00401B48" w:rsidRDefault="00401B48" w:rsidP="008C2573">
      <w:pPr>
        <w:spacing w:line="360" w:lineRule="auto"/>
        <w:ind w:firstLine="708"/>
        <w:jc w:val="both"/>
        <w:rPr>
          <w:bCs/>
          <w:sz w:val="22"/>
          <w:szCs w:val="22"/>
        </w:rPr>
      </w:pPr>
    </w:p>
    <w:p w14:paraId="321AA7B0" w14:textId="6A7D595D" w:rsidR="00CD04AC" w:rsidRDefault="0085134E" w:rsidP="008C2573">
      <w:pPr>
        <w:spacing w:line="360" w:lineRule="auto"/>
        <w:jc w:val="both"/>
        <w:rPr>
          <w:b/>
          <w:bCs/>
          <w:sz w:val="22"/>
          <w:szCs w:val="22"/>
        </w:rPr>
      </w:pPr>
      <w:r w:rsidRPr="00AC0130">
        <w:rPr>
          <w:b/>
          <w:bCs/>
          <w:sz w:val="22"/>
          <w:szCs w:val="22"/>
        </w:rPr>
        <w:t>CONSIDERANDO:</w:t>
      </w:r>
    </w:p>
    <w:p w14:paraId="5F8F3EC5" w14:textId="77777777" w:rsidR="008D56A6" w:rsidRPr="008D56A6" w:rsidRDefault="00FB6224" w:rsidP="008D56A6">
      <w:pPr>
        <w:pStyle w:val="isselectedend"/>
        <w:spacing w:line="360" w:lineRule="auto"/>
        <w:jc w:val="both"/>
        <w:rPr>
          <w:bCs/>
          <w:sz w:val="22"/>
          <w:szCs w:val="22"/>
          <w:lang w:val="es-AR"/>
        </w:rPr>
      </w:pPr>
      <w:r w:rsidRPr="00401B48">
        <w:rPr>
          <w:bCs/>
          <w:sz w:val="22"/>
          <w:szCs w:val="22"/>
          <w:lang w:val="es-AR"/>
        </w:rPr>
        <w:tab/>
      </w:r>
      <w:r w:rsidR="008D56A6" w:rsidRPr="008D56A6">
        <w:rPr>
          <w:bCs/>
          <w:sz w:val="22"/>
          <w:szCs w:val="22"/>
          <w:lang w:val="es-AR"/>
        </w:rPr>
        <w:t>Que la Municipalidad ha destinado, a lo largo de los últimos años, recursos públicos significativos a la adquisición, instalación, conectividad, mantenimiento y operación del sistema de videovigilancia y su centro de monitoreo;</w:t>
      </w:r>
    </w:p>
    <w:p w14:paraId="1567F49E" w14:textId="77777777" w:rsidR="008D56A6" w:rsidRPr="008D56A6" w:rsidRDefault="008D56A6" w:rsidP="008D56A6">
      <w:pPr>
        <w:pStyle w:val="isselectedend"/>
        <w:spacing w:line="360" w:lineRule="auto"/>
        <w:jc w:val="both"/>
        <w:rPr>
          <w:bCs/>
          <w:sz w:val="22"/>
          <w:szCs w:val="22"/>
          <w:lang w:val="es-AR"/>
        </w:rPr>
      </w:pPr>
      <w:r w:rsidRPr="008D56A6">
        <w:rPr>
          <w:bCs/>
          <w:sz w:val="22"/>
          <w:szCs w:val="22"/>
          <w:lang w:val="es-AR"/>
        </w:rPr>
        <w:t>Que la justificación habitual de dicha inversión reposa en dos finalidades concretas: la prevención del delito y la contribución al esclarecimiento de los hechos delictivos;</w:t>
      </w:r>
    </w:p>
    <w:p w14:paraId="50201E33" w14:textId="77777777" w:rsidR="008D56A6" w:rsidRPr="008D56A6" w:rsidRDefault="008D56A6" w:rsidP="008D56A6">
      <w:pPr>
        <w:pStyle w:val="isselectedend"/>
        <w:spacing w:line="360" w:lineRule="auto"/>
        <w:jc w:val="both"/>
        <w:rPr>
          <w:bCs/>
          <w:sz w:val="22"/>
          <w:szCs w:val="22"/>
          <w:lang w:val="es-AR"/>
        </w:rPr>
      </w:pPr>
      <w:r w:rsidRPr="008D56A6">
        <w:rPr>
          <w:bCs/>
          <w:sz w:val="22"/>
          <w:szCs w:val="22"/>
          <w:lang w:val="es-AR"/>
        </w:rPr>
        <w:t>Que constituye un deber de este Honorable Cuerpo verificar si tales finalidades se cumplen efectivamente, y si la relación entre el gasto comprometido y los resultados obtenidos justifica el sostenimiento y la eventual ampliación del sistema;</w:t>
      </w:r>
    </w:p>
    <w:p w14:paraId="7B336B55" w14:textId="77777777" w:rsidR="008D56A6" w:rsidRPr="008D56A6" w:rsidRDefault="008D56A6" w:rsidP="008D56A6">
      <w:pPr>
        <w:pStyle w:val="isselectedend"/>
        <w:spacing w:line="360" w:lineRule="auto"/>
        <w:jc w:val="both"/>
        <w:rPr>
          <w:bCs/>
          <w:sz w:val="22"/>
          <w:szCs w:val="22"/>
          <w:lang w:val="es-AR"/>
        </w:rPr>
      </w:pPr>
      <w:r w:rsidRPr="008D56A6">
        <w:rPr>
          <w:bCs/>
          <w:sz w:val="22"/>
          <w:szCs w:val="22"/>
          <w:lang w:val="es-AR"/>
        </w:rPr>
        <w:t>Que, a la fecha, este Cuerpo no dispone de información sistemática que permita evaluar el desempeño del sistema en términos de resultados preventivos verificables ni de aporte concreto al esclarecimiento de causas penales;</w:t>
      </w:r>
    </w:p>
    <w:p w14:paraId="7EA98FCA" w14:textId="77777777" w:rsidR="008D56A6" w:rsidRPr="008D56A6" w:rsidRDefault="008D56A6" w:rsidP="008D56A6">
      <w:pPr>
        <w:pStyle w:val="isselectedend"/>
        <w:spacing w:line="360" w:lineRule="auto"/>
        <w:jc w:val="both"/>
        <w:rPr>
          <w:bCs/>
          <w:sz w:val="22"/>
          <w:szCs w:val="22"/>
          <w:lang w:val="es-AR"/>
        </w:rPr>
      </w:pPr>
      <w:r w:rsidRPr="008D56A6">
        <w:rPr>
          <w:bCs/>
          <w:sz w:val="22"/>
          <w:szCs w:val="22"/>
          <w:lang w:val="es-AR"/>
        </w:rPr>
        <w:lastRenderedPageBreak/>
        <w:t>Que la experiencia comparada en materia de videovigilancia indica que su eficacia no es automática, sino que depende fuertemente de las condiciones de operación —estado y mantenimiento del parque de cámaras, protocolos de respuesta y conservación de las grabaciones—, extremos que solo pueden conocerse a partir de información oficial;</w:t>
      </w:r>
    </w:p>
    <w:p w14:paraId="0242E9D3" w14:textId="49FE3896" w:rsidR="008C2573" w:rsidRPr="00401B48" w:rsidRDefault="008D56A6" w:rsidP="008D56A6">
      <w:pPr>
        <w:pStyle w:val="isselectedend"/>
        <w:spacing w:line="360" w:lineRule="auto"/>
        <w:jc w:val="both"/>
        <w:rPr>
          <w:lang w:val="es-AR"/>
        </w:rPr>
      </w:pPr>
      <w:r w:rsidRPr="008D56A6">
        <w:rPr>
          <w:bCs/>
          <w:sz w:val="22"/>
          <w:szCs w:val="22"/>
          <w:lang w:val="es-AR"/>
        </w:rPr>
        <w:t>Que la evaluación basada en evidencia del gasto público en seguridad es un presupuesto de la buena administración y de la transparencia en el manejo de los fondos municipales;</w:t>
      </w:r>
    </w:p>
    <w:p w14:paraId="645CF164" w14:textId="1D3777C5" w:rsidR="0085134E" w:rsidRPr="00AC0130" w:rsidRDefault="00466B30" w:rsidP="008C2573">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8C2573">
      <w:pPr>
        <w:spacing w:line="360" w:lineRule="auto"/>
        <w:jc w:val="both"/>
        <w:rPr>
          <w:bCs/>
          <w:sz w:val="22"/>
          <w:szCs w:val="22"/>
        </w:rPr>
      </w:pPr>
    </w:p>
    <w:p w14:paraId="51418A20" w14:textId="758603E6" w:rsidR="0085134E" w:rsidRPr="00AC0130" w:rsidRDefault="00401B48" w:rsidP="008C2573">
      <w:pPr>
        <w:spacing w:line="360" w:lineRule="auto"/>
        <w:jc w:val="center"/>
        <w:rPr>
          <w:b/>
          <w:bCs/>
          <w:sz w:val="22"/>
          <w:szCs w:val="22"/>
          <w:u w:val="single"/>
        </w:rPr>
      </w:pPr>
      <w:r>
        <w:rPr>
          <w:b/>
          <w:bCs/>
          <w:sz w:val="22"/>
          <w:szCs w:val="22"/>
          <w:u w:val="single"/>
        </w:rPr>
        <w:t>PROYECTO DE COMUNICACIÓN</w:t>
      </w:r>
      <w:r w:rsidR="0085134E" w:rsidRPr="00AC0130">
        <w:rPr>
          <w:b/>
          <w:bCs/>
          <w:sz w:val="22"/>
          <w:szCs w:val="22"/>
          <w:u w:val="single"/>
        </w:rPr>
        <w:t>:</w:t>
      </w:r>
    </w:p>
    <w:p w14:paraId="22F565A2" w14:textId="2D8DE822" w:rsidR="008D56A6" w:rsidRPr="008D56A6" w:rsidRDefault="00A77947" w:rsidP="008D56A6">
      <w:pPr>
        <w:spacing w:before="100" w:beforeAutospacing="1" w:after="100" w:afterAutospacing="1" w:line="360" w:lineRule="auto"/>
        <w:jc w:val="both"/>
        <w:rPr>
          <w:lang w:val="es-AR" w:eastAsia="en-US"/>
        </w:rPr>
      </w:pPr>
      <w:r w:rsidRPr="00A77947">
        <w:rPr>
          <w:b/>
          <w:lang w:val="es-AR" w:eastAsia="en-US"/>
        </w:rPr>
        <w:t xml:space="preserve">ARTÍCULO 1°: </w:t>
      </w:r>
      <w:r w:rsidR="008D56A6" w:rsidRPr="008D56A6">
        <w:rPr>
          <w:lang w:val="es-AR" w:eastAsia="en-US"/>
        </w:rPr>
        <w:t>Solicítase al Departamento Ejecutivo Municipal que, por medio del área competente, informe a este Honorable Cuerpo, de manera detallada y documentada, los siguientes puntos:</w:t>
      </w:r>
    </w:p>
    <w:p w14:paraId="3B48BEBC" w14:textId="56262EC4" w:rsidR="008D56A6" w:rsidRPr="008D56A6" w:rsidRDefault="008D56A6" w:rsidP="008D56A6">
      <w:pPr>
        <w:spacing w:before="100" w:beforeAutospacing="1" w:after="100" w:afterAutospacing="1" w:line="360" w:lineRule="auto"/>
        <w:jc w:val="both"/>
        <w:rPr>
          <w:b/>
          <w:lang w:val="es-AR" w:eastAsia="en-US"/>
        </w:rPr>
      </w:pPr>
      <w:r w:rsidRPr="008D56A6">
        <w:rPr>
          <w:b/>
          <w:lang w:val="es-AR" w:eastAsia="en-US"/>
        </w:rPr>
        <w:t>I. Infraestructura y estado operativo</w:t>
      </w:r>
      <w:r w:rsidRPr="008D56A6">
        <w:rPr>
          <w:b/>
          <w:lang w:val="es-AR" w:eastAsia="en-US"/>
        </w:rPr>
        <w:t>:</w:t>
      </w:r>
    </w:p>
    <w:p w14:paraId="70CA05B0"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 Cantidad total de cámaras que integran el sistema, discriminadas por tipo (fijas, domo, LPR, móviles u otras) y detalle de su emplazamiento.</w:t>
      </w:r>
    </w:p>
    <w:p w14:paraId="11493783"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2. Cantidad de cámaras efectivamente en funcionamiento a la fecha y cantidad fuera de servicio, individualizando estas últimas, su ubicación y la antigüedad de la falla.</w:t>
      </w:r>
    </w:p>
    <w:p w14:paraId="40E358C2"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3. Evolución de la cantidad de cámaras operativas —urbanas y rurales por separado— durante los últimos tres (3) años.</w:t>
      </w:r>
    </w:p>
    <w:p w14:paraId="6CD0DED8"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4. Fecha y resultado de la última auditoría o relevamiento técnico del estado del parque de cámaras.</w:t>
      </w:r>
    </w:p>
    <w:p w14:paraId="2401F28A" w14:textId="13D1C370" w:rsidR="008D56A6" w:rsidRPr="008D56A6" w:rsidRDefault="008D56A6" w:rsidP="008D56A6">
      <w:pPr>
        <w:spacing w:before="100" w:beforeAutospacing="1" w:after="100" w:afterAutospacing="1" w:line="360" w:lineRule="auto"/>
        <w:jc w:val="both"/>
        <w:rPr>
          <w:b/>
          <w:lang w:val="es-AR" w:eastAsia="en-US"/>
        </w:rPr>
      </w:pPr>
      <w:r w:rsidRPr="008D56A6">
        <w:rPr>
          <w:b/>
          <w:lang w:val="es-AR" w:eastAsia="en-US"/>
        </w:rPr>
        <w:t>II. Inversión y costos</w:t>
      </w:r>
      <w:r w:rsidRPr="008D56A6">
        <w:rPr>
          <w:b/>
          <w:lang w:val="es-AR" w:eastAsia="en-US"/>
        </w:rPr>
        <w:t>:</w:t>
      </w:r>
    </w:p>
    <w:p w14:paraId="79C26B86"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lastRenderedPageBreak/>
        <w:t>5. Inversión total ejecutada en el sistema (adquisición, instalación, conectividad, software y centro de monitoreo) durante los últimos cinco (5) años, por ejercicio.</w:t>
      </w:r>
    </w:p>
    <w:p w14:paraId="32A3FA41"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6. Costo anual de operación y mantenimiento, discriminando conectividad, mantenimiento correctivo y preventivo, y personal afectado.</w:t>
      </w:r>
    </w:p>
    <w:p w14:paraId="57C44BC8"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7. Proveedores contratados para cada componente del sistema y modalidad de contratación empleada en cada caso.</w:t>
      </w:r>
    </w:p>
    <w:p w14:paraId="209C0C07" w14:textId="534B7F6C" w:rsidR="008D56A6" w:rsidRPr="008D56A6" w:rsidRDefault="008D56A6" w:rsidP="008D56A6">
      <w:pPr>
        <w:spacing w:before="100" w:beforeAutospacing="1" w:after="100" w:afterAutospacing="1" w:line="360" w:lineRule="auto"/>
        <w:jc w:val="both"/>
        <w:rPr>
          <w:b/>
          <w:lang w:val="es-AR" w:eastAsia="en-US"/>
        </w:rPr>
      </w:pPr>
      <w:r w:rsidRPr="008D56A6">
        <w:rPr>
          <w:b/>
          <w:lang w:val="es-AR" w:eastAsia="en-US"/>
        </w:rPr>
        <w:t>III. Operación del centro de monitoreo</w:t>
      </w:r>
      <w:r w:rsidRPr="008D56A6">
        <w:rPr>
          <w:b/>
          <w:lang w:val="es-AR" w:eastAsia="en-US"/>
        </w:rPr>
        <w:t>:</w:t>
      </w:r>
    </w:p>
    <w:p w14:paraId="1D863040"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8. Dotación de operadores del centro de monitoreo, cantidad por turno y cobertura horaria efectiva (indicando si es de veinticuatro horas o parcial).</w:t>
      </w:r>
    </w:p>
    <w:p w14:paraId="3FF5DA92"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9. Cantidad de cámaras que cada operador supervisa simultáneamente por turno.</w:t>
      </w:r>
    </w:p>
    <w:p w14:paraId="55CEEC47"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10. Existencia de protocolos escritos de actuación ante la detección de un hecho en tiempo real; en caso afirmativo, acompañar copia.</w:t>
      </w:r>
    </w:p>
    <w:p w14:paraId="7E4B4671"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11. Tiempo promedio de respuesta transcurrido entre la detección de un hecho por el centro de monitoreo y el arribo de un móvil policial al lugar.</w:t>
      </w:r>
    </w:p>
    <w:p w14:paraId="28DA5769" w14:textId="35255179" w:rsidR="008D56A6" w:rsidRPr="008D56A6" w:rsidRDefault="008D56A6" w:rsidP="008D56A6">
      <w:pPr>
        <w:spacing w:before="100" w:beforeAutospacing="1" w:after="100" w:afterAutospacing="1" w:line="360" w:lineRule="auto"/>
        <w:jc w:val="both"/>
        <w:rPr>
          <w:b/>
          <w:lang w:val="es-AR" w:eastAsia="en-US"/>
        </w:rPr>
      </w:pPr>
      <w:r w:rsidRPr="008D56A6">
        <w:rPr>
          <w:b/>
          <w:lang w:val="es-AR" w:eastAsia="en-US"/>
        </w:rPr>
        <w:t>IV. Resultados preventivos</w:t>
      </w:r>
      <w:r w:rsidRPr="008D56A6">
        <w:rPr>
          <w:b/>
          <w:lang w:val="es-AR" w:eastAsia="en-US"/>
        </w:rPr>
        <w:t>:</w:t>
      </w:r>
    </w:p>
    <w:p w14:paraId="5B582272"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12. Cantidad de intervenciones originadas en la detección proactiva de un operador en tiempo real —es decir, no derivadas de un llamado al 911 ni de una denuncia previa— durante los últimos treinta y seis (36) meses, con detalle mensual.</w:t>
      </w:r>
    </w:p>
    <w:p w14:paraId="5F2E5E4E"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13. Cantidad de aprehensiones en flagrancia originadas directa y exclusivamente en el monitoreo activo del sistema en el mismo período.</w:t>
      </w:r>
    </w:p>
    <w:p w14:paraId="10E4CFF3"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14. Cantidad de hechos delictivos abortados o impedidos como consecuencia de una intervención derivada del monitoreo.</w:t>
      </w:r>
    </w:p>
    <w:p w14:paraId="350A4930"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lastRenderedPageBreak/>
        <w:t>15. Si se ha realizado algún estudio comparativo de incidencia delictiva entre zonas con y sin cobertura de cámaras; en caso afirmativo, acompañarlo.</w:t>
      </w:r>
    </w:p>
    <w:p w14:paraId="66A67AD8" w14:textId="59F8BCFD" w:rsidR="008D56A6" w:rsidRPr="008D56A6" w:rsidRDefault="008D56A6" w:rsidP="008D56A6">
      <w:pPr>
        <w:spacing w:before="100" w:beforeAutospacing="1" w:after="100" w:afterAutospacing="1" w:line="360" w:lineRule="auto"/>
        <w:jc w:val="both"/>
        <w:rPr>
          <w:b/>
          <w:lang w:val="es-AR" w:eastAsia="en-US"/>
        </w:rPr>
      </w:pPr>
      <w:r w:rsidRPr="008D56A6">
        <w:rPr>
          <w:b/>
          <w:lang w:val="es-AR" w:eastAsia="en-US"/>
        </w:rPr>
        <w:t>V. Aporte al esclarecimiento de hechos delictivos</w:t>
      </w:r>
      <w:r w:rsidRPr="008D56A6">
        <w:rPr>
          <w:b/>
          <w:lang w:val="es-AR" w:eastAsia="en-US"/>
        </w:rPr>
        <w:t>:</w:t>
      </w:r>
    </w:p>
    <w:p w14:paraId="1BC3AA74"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16. Cantidad de requerimientos de imágenes efectuados por el Ministerio Público Fiscal, el Poder Judicial o las fuerzas de seguridad durante los últimos treinta y seis (36) meses.</w:t>
      </w:r>
    </w:p>
    <w:p w14:paraId="3C6EF2E4"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17. De los requerimientos anteriores, cantidad en la que las imágenes solicitadas pudieron efectivamente ser entregadas.</w:t>
      </w:r>
    </w:p>
    <w:p w14:paraId="0768EB00"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18. Cantidad de requerimientos que no pudieron ser satisfechos, indicando en cada caso la causa (cámara fuera de servicio, grabación sobrescrita o inexistente, calidad insuficiente, u otra).</w:t>
      </w:r>
    </w:p>
    <w:p w14:paraId="5F0C0E21"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19. Plazo de conservación (guarda) de las grabaciones y capacidad de almacenamiento del sistema.</w:t>
      </w:r>
    </w:p>
    <w:p w14:paraId="6C86EB7E"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20. Cantidad de causas penales en las que, según registro municipal, las imágenes del sistema contribuyeron a la identificación de autores o al esclarecimiento del hecho.</w:t>
      </w:r>
    </w:p>
    <w:p w14:paraId="0F052302" w14:textId="6B95129B" w:rsidR="008D56A6" w:rsidRPr="008D56A6" w:rsidRDefault="008D56A6" w:rsidP="008D56A6">
      <w:pPr>
        <w:spacing w:before="100" w:beforeAutospacing="1" w:after="100" w:afterAutospacing="1" w:line="360" w:lineRule="auto"/>
        <w:jc w:val="both"/>
        <w:rPr>
          <w:b/>
          <w:lang w:val="es-AR" w:eastAsia="en-US"/>
        </w:rPr>
      </w:pPr>
      <w:r w:rsidRPr="008D56A6">
        <w:rPr>
          <w:b/>
          <w:lang w:val="es-AR" w:eastAsia="en-US"/>
        </w:rPr>
        <w:t>VI. Evaluación y control de gestión</w:t>
      </w:r>
      <w:r w:rsidRPr="008D56A6">
        <w:rPr>
          <w:b/>
          <w:lang w:val="es-AR" w:eastAsia="en-US"/>
        </w:rPr>
        <w:t>:</w:t>
      </w:r>
      <w:bookmarkStart w:id="0" w:name="_GoBack"/>
      <w:bookmarkEnd w:id="0"/>
    </w:p>
    <w:p w14:paraId="531CBC4C"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21. Indicadores con los que la Municipalidad mide la eficacia del sistema de videovigilancia.</w:t>
      </w:r>
    </w:p>
    <w:p w14:paraId="10708EC6"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22. Si se ha efectuado alguna evaluación de costo-beneficio o de impacto del sistema desde su implementación; en caso afirmativo, acompañarla.</w:t>
      </w:r>
    </w:p>
    <w:p w14:paraId="4921E944"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23. Modo de articulación del sistema con el programa “Ojos en Alerta” y resultados concretos atribuibles a dicha articulación.</w:t>
      </w:r>
    </w:p>
    <w:p w14:paraId="34FEBD68" w14:textId="77777777" w:rsidR="008D56A6" w:rsidRPr="008D56A6" w:rsidRDefault="008D56A6" w:rsidP="008D56A6">
      <w:pPr>
        <w:spacing w:before="100" w:beforeAutospacing="1" w:after="100" w:afterAutospacing="1" w:line="360" w:lineRule="auto"/>
        <w:jc w:val="both"/>
        <w:rPr>
          <w:lang w:val="es-AR" w:eastAsia="en-US"/>
        </w:rPr>
      </w:pPr>
      <w:r w:rsidRPr="008D56A6">
        <w:rPr>
          <w:lang w:val="es-AR" w:eastAsia="en-US"/>
        </w:rPr>
        <w:t>24. Previsiones presupuestarias de ampliación, renovación o mantenimiento del sistema para el ejercicio en curso y el siguiente.</w:t>
      </w:r>
    </w:p>
    <w:p w14:paraId="1A99D5B8" w14:textId="5C563BF8" w:rsidR="00FA6BA9" w:rsidRPr="00AC0130" w:rsidRDefault="008D56A6" w:rsidP="008D56A6">
      <w:pPr>
        <w:spacing w:before="100" w:beforeAutospacing="1" w:after="100" w:afterAutospacing="1" w:line="360" w:lineRule="auto"/>
        <w:jc w:val="both"/>
        <w:rPr>
          <w:sz w:val="22"/>
          <w:szCs w:val="22"/>
        </w:rPr>
      </w:pPr>
      <w:r w:rsidRPr="008D56A6">
        <w:rPr>
          <w:b/>
          <w:lang w:val="es-AR" w:eastAsia="en-US"/>
        </w:rPr>
        <w:t>ARTÍCULO 2°:</w:t>
      </w:r>
      <w:r w:rsidRPr="008D56A6">
        <w:rPr>
          <w:lang w:val="es-AR" w:eastAsia="en-US"/>
        </w:rPr>
        <w:t xml:space="preserve"> De forma.</w:t>
      </w:r>
      <w:r>
        <w:rPr>
          <w:lang w:val="es-AR" w:eastAsia="en-US"/>
        </w:rPr>
        <w:t xml:space="preserve"> </w:t>
      </w: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76BE7" w14:textId="77777777" w:rsidR="000E0514" w:rsidRDefault="000E0514">
      <w:r>
        <w:separator/>
      </w:r>
    </w:p>
  </w:endnote>
  <w:endnote w:type="continuationSeparator" w:id="0">
    <w:p w14:paraId="0DBF2BB4" w14:textId="77777777" w:rsidR="000E0514" w:rsidRDefault="000E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0FAE30E"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8D56A6">
          <w:rPr>
            <w:noProof/>
          </w:rPr>
          <w:t>1</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46A49" w14:textId="77777777" w:rsidR="000E0514" w:rsidRDefault="000E0514">
      <w:r>
        <w:separator/>
      </w:r>
    </w:p>
  </w:footnote>
  <w:footnote w:type="continuationSeparator" w:id="0">
    <w:p w14:paraId="1DC3FCEF" w14:textId="77777777" w:rsidR="000E0514" w:rsidRDefault="000E05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34AD8"/>
    <w:multiLevelType w:val="multilevel"/>
    <w:tmpl w:val="20C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1"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12A5F61"/>
    <w:multiLevelType w:val="multilevel"/>
    <w:tmpl w:val="D4A0753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2"/>
  </w:num>
  <w:num w:numId="6">
    <w:abstractNumId w:val="6"/>
  </w:num>
  <w:num w:numId="7">
    <w:abstractNumId w:val="0"/>
  </w:num>
  <w:num w:numId="8">
    <w:abstractNumId w:val="2"/>
  </w:num>
  <w:num w:numId="9">
    <w:abstractNumId w:val="15"/>
  </w:num>
  <w:num w:numId="10">
    <w:abstractNumId w:val="14"/>
  </w:num>
  <w:num w:numId="11">
    <w:abstractNumId w:val="11"/>
  </w:num>
  <w:num w:numId="12">
    <w:abstractNumId w:val="9"/>
  </w:num>
  <w:num w:numId="13">
    <w:abstractNumId w:val="16"/>
  </w:num>
  <w:num w:numId="14">
    <w:abstractNumId w:val="4"/>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0514"/>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E6E81"/>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C05A9"/>
    <w:rsid w:val="003D46BC"/>
    <w:rsid w:val="003D4F5E"/>
    <w:rsid w:val="003D509E"/>
    <w:rsid w:val="003D60B2"/>
    <w:rsid w:val="003E0F6A"/>
    <w:rsid w:val="003E24C6"/>
    <w:rsid w:val="003E681E"/>
    <w:rsid w:val="003F67FC"/>
    <w:rsid w:val="00401B48"/>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A3967"/>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2FDF"/>
    <w:rsid w:val="007746A0"/>
    <w:rsid w:val="00780D63"/>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2573"/>
    <w:rsid w:val="008C4B0A"/>
    <w:rsid w:val="008D287F"/>
    <w:rsid w:val="008D56A6"/>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D053D"/>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77947"/>
    <w:rsid w:val="00A84F06"/>
    <w:rsid w:val="00A95ECE"/>
    <w:rsid w:val="00A97D8A"/>
    <w:rsid w:val="00AA3722"/>
    <w:rsid w:val="00AA75AF"/>
    <w:rsid w:val="00AB0D4A"/>
    <w:rsid w:val="00AB0F7B"/>
    <w:rsid w:val="00AB51E7"/>
    <w:rsid w:val="00AC0130"/>
    <w:rsid w:val="00AC3595"/>
    <w:rsid w:val="00AC3D91"/>
    <w:rsid w:val="00AD0A88"/>
    <w:rsid w:val="00AD1036"/>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0202"/>
    <w:rsid w:val="00CA3296"/>
    <w:rsid w:val="00CA469B"/>
    <w:rsid w:val="00CB469A"/>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36081"/>
    <w:rsid w:val="00E42137"/>
    <w:rsid w:val="00E45641"/>
    <w:rsid w:val="00E553BE"/>
    <w:rsid w:val="00E57A0D"/>
    <w:rsid w:val="00E61348"/>
    <w:rsid w:val="00E6591D"/>
    <w:rsid w:val="00E80DAE"/>
    <w:rsid w:val="00E865DC"/>
    <w:rsid w:val="00E93B79"/>
    <w:rsid w:val="00E972EC"/>
    <w:rsid w:val="00EA04FC"/>
    <w:rsid w:val="00EA1253"/>
    <w:rsid w:val="00EA27AC"/>
    <w:rsid w:val="00EA788B"/>
    <w:rsid w:val="00ED1853"/>
    <w:rsid w:val="00ED19F6"/>
    <w:rsid w:val="00ED28C2"/>
    <w:rsid w:val="00EE2EF5"/>
    <w:rsid w:val="00EE68B1"/>
    <w:rsid w:val="00EF3782"/>
    <w:rsid w:val="00EF3C91"/>
    <w:rsid w:val="00F04758"/>
    <w:rsid w:val="00F155E7"/>
    <w:rsid w:val="00F211A5"/>
    <w:rsid w:val="00F24CCA"/>
    <w:rsid w:val="00F328C0"/>
    <w:rsid w:val="00F34703"/>
    <w:rsid w:val="00F44F91"/>
    <w:rsid w:val="00F47E4E"/>
    <w:rsid w:val="00F555F6"/>
    <w:rsid w:val="00F56BB6"/>
    <w:rsid w:val="00F6593F"/>
    <w:rsid w:val="00F7575E"/>
    <w:rsid w:val="00F849CD"/>
    <w:rsid w:val="00F87372"/>
    <w:rsid w:val="00F913DC"/>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48121027">
      <w:bodyDiv w:val="1"/>
      <w:marLeft w:val="0"/>
      <w:marRight w:val="0"/>
      <w:marTop w:val="0"/>
      <w:marBottom w:val="0"/>
      <w:divBdr>
        <w:top w:val="none" w:sz="0" w:space="0" w:color="auto"/>
        <w:left w:val="none" w:sz="0" w:space="0" w:color="auto"/>
        <w:bottom w:val="none" w:sz="0" w:space="0" w:color="auto"/>
        <w:right w:val="none" w:sz="0" w:space="0" w:color="auto"/>
      </w:divBdr>
    </w:div>
    <w:div w:id="27892273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400912744">
      <w:bodyDiv w:val="1"/>
      <w:marLeft w:val="0"/>
      <w:marRight w:val="0"/>
      <w:marTop w:val="0"/>
      <w:marBottom w:val="0"/>
      <w:divBdr>
        <w:top w:val="none" w:sz="0" w:space="0" w:color="auto"/>
        <w:left w:val="none" w:sz="0" w:space="0" w:color="auto"/>
        <w:bottom w:val="none" w:sz="0" w:space="0" w:color="auto"/>
        <w:right w:val="none" w:sz="0" w:space="0" w:color="auto"/>
      </w:divBdr>
    </w:div>
    <w:div w:id="502623145">
      <w:bodyDiv w:val="1"/>
      <w:marLeft w:val="0"/>
      <w:marRight w:val="0"/>
      <w:marTop w:val="0"/>
      <w:marBottom w:val="0"/>
      <w:divBdr>
        <w:top w:val="none" w:sz="0" w:space="0" w:color="auto"/>
        <w:left w:val="none" w:sz="0" w:space="0" w:color="auto"/>
        <w:bottom w:val="none" w:sz="0" w:space="0" w:color="auto"/>
        <w:right w:val="none" w:sz="0" w:space="0" w:color="auto"/>
      </w:divBdr>
    </w:div>
    <w:div w:id="669480580">
      <w:bodyDiv w:val="1"/>
      <w:marLeft w:val="0"/>
      <w:marRight w:val="0"/>
      <w:marTop w:val="0"/>
      <w:marBottom w:val="0"/>
      <w:divBdr>
        <w:top w:val="none" w:sz="0" w:space="0" w:color="auto"/>
        <w:left w:val="none" w:sz="0" w:space="0" w:color="auto"/>
        <w:bottom w:val="none" w:sz="0" w:space="0" w:color="auto"/>
        <w:right w:val="none" w:sz="0" w:space="0" w:color="auto"/>
      </w:divBdr>
    </w:div>
    <w:div w:id="716853714">
      <w:bodyDiv w:val="1"/>
      <w:marLeft w:val="0"/>
      <w:marRight w:val="0"/>
      <w:marTop w:val="0"/>
      <w:marBottom w:val="0"/>
      <w:divBdr>
        <w:top w:val="none" w:sz="0" w:space="0" w:color="auto"/>
        <w:left w:val="none" w:sz="0" w:space="0" w:color="auto"/>
        <w:bottom w:val="none" w:sz="0" w:space="0" w:color="auto"/>
        <w:right w:val="none" w:sz="0" w:space="0" w:color="auto"/>
      </w:divBdr>
    </w:div>
    <w:div w:id="724648065">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2274095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51475789">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284309898">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17958584">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675765934">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774932316">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879001524">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095474970">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2</cp:revision>
  <cp:lastPrinted>2023-12-12T04:06:00Z</cp:lastPrinted>
  <dcterms:created xsi:type="dcterms:W3CDTF">2026-07-06T15:39:00Z</dcterms:created>
  <dcterms:modified xsi:type="dcterms:W3CDTF">2026-07-06T15:39:00Z</dcterms:modified>
</cp:coreProperties>
</file>