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1D2465">
        <w:rPr>
          <w:rFonts w:asciiTheme="minorHAnsi" w:hAnsiTheme="minorHAnsi" w:cstheme="minorHAnsi"/>
          <w:sz w:val="22"/>
          <w:szCs w:val="22"/>
          <w:lang w:val="es-ES_tradnl"/>
        </w:rPr>
        <w:t>20</w:t>
      </w:r>
      <w:r w:rsidR="00600714" w:rsidRPr="00B16220">
        <w:rPr>
          <w:rFonts w:asciiTheme="minorHAnsi" w:hAnsiTheme="minorHAnsi" w:cstheme="minorHAnsi"/>
          <w:sz w:val="22"/>
          <w:szCs w:val="22"/>
          <w:lang w:val="es-ES_tradnl"/>
        </w:rPr>
        <w:t xml:space="preserve"> </w:t>
      </w:r>
      <w:r w:rsidR="00C156AA" w:rsidRPr="00B16220">
        <w:rPr>
          <w:rFonts w:asciiTheme="minorHAnsi" w:hAnsiTheme="minorHAnsi" w:cstheme="minorHAnsi"/>
          <w:sz w:val="22"/>
          <w:szCs w:val="22"/>
          <w:lang w:val="es-ES_tradnl"/>
        </w:rPr>
        <w:t>de J</w:t>
      </w:r>
      <w:r w:rsidR="00600714" w:rsidRPr="00B16220">
        <w:rPr>
          <w:rFonts w:asciiTheme="minorHAnsi" w:hAnsiTheme="minorHAnsi" w:cstheme="minorHAnsi"/>
          <w:sz w:val="22"/>
          <w:szCs w:val="22"/>
          <w:lang w:val="es-ES_tradnl"/>
        </w:rPr>
        <w:t>ulio</w:t>
      </w:r>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1D2465" w:rsidRDefault="00094D09" w:rsidP="00094D09">
      <w:pPr>
        <w:rPr>
          <w:rFonts w:asciiTheme="minorHAnsi" w:hAnsiTheme="minorHAnsi" w:cstheme="minorHAnsi"/>
          <w:b/>
          <w:sz w:val="22"/>
          <w:szCs w:val="22"/>
          <w:lang w:val="en-US"/>
        </w:rPr>
      </w:pPr>
      <w:r w:rsidRPr="001D2465">
        <w:rPr>
          <w:rFonts w:asciiTheme="minorHAnsi" w:hAnsiTheme="minorHAnsi" w:cstheme="minorHAnsi"/>
          <w:b/>
          <w:sz w:val="22"/>
          <w:szCs w:val="22"/>
          <w:lang w:val="en-US"/>
        </w:rPr>
        <w:t>Sr. Oscar Freddy Toledo</w:t>
      </w:r>
    </w:p>
    <w:p w:rsidR="00094D09" w:rsidRPr="001D2465" w:rsidRDefault="00094D09" w:rsidP="00094D09">
      <w:pPr>
        <w:rPr>
          <w:rFonts w:asciiTheme="minorHAnsi" w:hAnsiTheme="minorHAnsi" w:cstheme="minorHAnsi"/>
          <w:b/>
          <w:sz w:val="22"/>
          <w:szCs w:val="22"/>
          <w:lang w:val="en-US"/>
        </w:rPr>
      </w:pPr>
      <w:r w:rsidRPr="001D2465">
        <w:rPr>
          <w:rFonts w:asciiTheme="minorHAnsi" w:hAnsiTheme="minorHAnsi" w:cstheme="minorHAnsi"/>
          <w:b/>
          <w:sz w:val="22"/>
          <w:szCs w:val="22"/>
          <w:lang w:val="en-US"/>
        </w:rPr>
        <w:t>S/D</w:t>
      </w:r>
    </w:p>
    <w:p w:rsidR="00094D09" w:rsidRPr="001D2465" w:rsidRDefault="00094D09" w:rsidP="00094D09">
      <w:pPr>
        <w:rPr>
          <w:rFonts w:asciiTheme="minorHAnsi" w:hAnsiTheme="minorHAnsi" w:cstheme="minorHAnsi"/>
          <w:b/>
          <w:sz w:val="22"/>
          <w:szCs w:val="22"/>
          <w:lang w:val="en-US"/>
        </w:rPr>
      </w:pPr>
    </w:p>
    <w:p w:rsidR="00094D09" w:rsidRPr="001D2465" w:rsidRDefault="00094D09" w:rsidP="00094D09">
      <w:pPr>
        <w:rPr>
          <w:rFonts w:asciiTheme="minorHAnsi" w:hAnsiTheme="minorHAnsi" w:cstheme="minorHAnsi"/>
          <w:b/>
          <w:sz w:val="22"/>
          <w:szCs w:val="22"/>
          <w:lang w:val="en-US"/>
        </w:rPr>
      </w:pPr>
    </w:p>
    <w:p w:rsidR="001D2465" w:rsidRPr="001D2465" w:rsidRDefault="004E3386" w:rsidP="001D2465">
      <w:pPr>
        <w:jc w:val="both"/>
        <w:rPr>
          <w:rFonts w:ascii="Calibri" w:eastAsia="Calibri" w:hAnsi="Calibri"/>
          <w:kern w:val="2"/>
          <w:sz w:val="24"/>
          <w:szCs w:val="22"/>
          <w:u w:val="single"/>
          <w:lang w:eastAsia="en-US"/>
          <w14:ligatures w14:val="standardContextual"/>
        </w:rPr>
      </w:pPr>
      <w:r w:rsidRPr="001D2465">
        <w:rPr>
          <w:rFonts w:ascii="Arial" w:hAnsi="Arial" w:cs="Arial"/>
          <w:b/>
          <w:bCs/>
          <w:color w:val="000000"/>
          <w:sz w:val="22"/>
          <w:szCs w:val="22"/>
          <w:u w:val="single"/>
        </w:rPr>
        <w:t xml:space="preserve">TITULO: </w:t>
      </w:r>
      <w:r w:rsidR="001D2465" w:rsidRPr="001D2465">
        <w:rPr>
          <w:rFonts w:ascii="Calibri" w:eastAsia="Calibri" w:hAnsi="Calibri"/>
          <w:b/>
          <w:bCs/>
          <w:kern w:val="2"/>
          <w:sz w:val="24"/>
          <w:szCs w:val="22"/>
          <w:u w:val="single"/>
          <w:lang w:eastAsia="en-US"/>
          <w14:ligatures w14:val="standardContextual"/>
        </w:rPr>
        <w:t>SOLICITANDO SENTIDO ÚNICO DE CALLES ASFALTADAS DEL BARRIO ESCRIBANO</w:t>
      </w:r>
    </w:p>
    <w:p w:rsidR="001D2465" w:rsidRDefault="001D2465" w:rsidP="001D2465">
      <w:pPr>
        <w:spacing w:after="160" w:line="259" w:lineRule="auto"/>
        <w:ind w:left="0"/>
        <w:jc w:val="both"/>
        <w:rPr>
          <w:rFonts w:ascii="Calibri" w:eastAsia="Calibri" w:hAnsi="Calibri"/>
          <w:b/>
          <w:bCs/>
          <w:kern w:val="2"/>
          <w:sz w:val="22"/>
          <w:szCs w:val="22"/>
          <w:lang w:eastAsia="en-US"/>
          <w14:ligatures w14:val="standardContextual"/>
        </w:rPr>
      </w:pP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b/>
          <w:bCs/>
          <w:kern w:val="2"/>
          <w:sz w:val="22"/>
          <w:szCs w:val="22"/>
          <w:lang w:eastAsia="en-US"/>
          <w14:ligatures w14:val="standardContextual"/>
        </w:rPr>
        <w:t>VISTO:</w:t>
      </w: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La Ordenanza N° 5028/2016 y su modificatoria Ordenanza N° 5794/2024; y</w:t>
      </w: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b/>
          <w:bCs/>
          <w:kern w:val="2"/>
          <w:sz w:val="22"/>
          <w:szCs w:val="22"/>
          <w:lang w:eastAsia="en-US"/>
          <w14:ligatures w14:val="standardContextual"/>
        </w:rPr>
        <w:t>CONSIDERANDO:</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el artículo 17 de la Ordenanza N° 5028/2016 establece que las arterias no mencionadas en dicha norma tendrán y/o conservarán doble sentido de circulación hasta su pavimentación, disponiendo además que, cuando se pavimenten nuevos tramos de calles que ya cuenten con sectores pavimentados, éstos deberán adoptar el mismo sentido de circulación vigente para la arteria al momento de habilitarse la obra al uso.</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recientemente el Departamento Ejecutivo ha concluido la pavimentación de nuevos tramos de las calles Juárez, entre Escribano y Fernando de Arenaza, y Dorrego, entre Escribano y Tucumán, en el marco de la obra de pavimentación del barrio Escribano, una intervención largamente esperada por los vecinos y que mejora significativamente la infraestructura vial del sector.</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los tramos previamente pavimentados de la calle Juárez poseen circulación en sentido único Sur–Norte, mientras que los de la calle Dorrego poseen circulación en sentido único Norte–Sur.</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en consecuencia, corresponde que los nuevos tramos pavimentados adopten idéntico sentido de circulación al vigente para cada una de dichas arterias, de conformidad con el criterio establecido por el artículo 17 de la Ordenanza N° 5028/2016.</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lastRenderedPageBreak/>
        <w:t>Que la continuidad del sentido único de circulación a lo largo de una misma arteria favorece un tránsito más ordenado, evita cambios innecesarios de dirección, mejora la previsibilidad para quienes circulan y contribuye a una mayor seguridad vial para conductores, ciclistas y peatones.</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la reciente habilitación de los nuevos tramos pavimentados constituye una oportunidad propicia para implementar el sentido de circulación previsto por la normativa vigente, acompañando dicho proceso con una adecuada señalización y acciones de información que permitan a los vecinos y vecinas familiarizarse progresivamente con la nueva organización del tránsito, favoreciendo una adaptación segura, ordenada y respetuosa de las normas de circulación.</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dichas obras representan una importante inversión pública destinada a mejorar la conectividad, la accesibilidad y la calidad de vida de los vecinos y vecinas del barrio Escribano, resultando conveniente que su puesta en funcionamiento se acompañe con las medidas de ordenamiento del tránsito previstas en la normativa vigente, a fin de optimizar el uso de la nueva infraestructura vial y fortalecer la seguridad de quienes circulan por el sector.</w:t>
      </w:r>
    </w:p>
    <w:p w:rsid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Que la correcta señalización vial resulta indispensable para garantizar la eficacia de la medida, brindando información clara a quienes transitan por el sector y previniendo situaciones de riesgo durante el período de adaptación.</w:t>
      </w:r>
    </w:p>
    <w:p w:rsidR="001D2465" w:rsidRPr="001D2465" w:rsidRDefault="001D2465" w:rsidP="001D2465">
      <w:pPr>
        <w:spacing w:after="160" w:line="259" w:lineRule="auto"/>
        <w:ind w:left="0" w:firstLine="720"/>
        <w:jc w:val="both"/>
        <w:rPr>
          <w:rFonts w:ascii="Calibri" w:eastAsia="Calibri" w:hAnsi="Calibri"/>
          <w:kern w:val="2"/>
          <w:sz w:val="22"/>
          <w:szCs w:val="22"/>
          <w:lang w:eastAsia="en-US"/>
          <w14:ligatures w14:val="standardContextual"/>
        </w:rPr>
      </w:pPr>
      <w:bookmarkStart w:id="0" w:name="_GoBack"/>
      <w:bookmarkEnd w:id="0"/>
    </w:p>
    <w:p w:rsidR="001D2465" w:rsidRDefault="001D2465" w:rsidP="001D2465">
      <w:pPr>
        <w:spacing w:after="160" w:line="259" w:lineRule="auto"/>
        <w:ind w:left="0"/>
        <w:jc w:val="center"/>
        <w:rPr>
          <w:rFonts w:ascii="Calibri" w:eastAsia="Calibri" w:hAnsi="Calibri"/>
          <w:b/>
          <w:i/>
          <w:kern w:val="2"/>
          <w:sz w:val="22"/>
          <w:szCs w:val="22"/>
          <w:lang w:eastAsia="en-US"/>
          <w14:ligatures w14:val="standardContextual"/>
        </w:rPr>
      </w:pPr>
      <w:r w:rsidRPr="001D2465">
        <w:rPr>
          <w:rFonts w:ascii="Calibri" w:eastAsia="Calibri" w:hAnsi="Calibri"/>
          <w:b/>
          <w:bCs/>
          <w:i/>
          <w:kern w:val="2"/>
          <w:sz w:val="22"/>
          <w:szCs w:val="22"/>
          <w:lang w:eastAsia="en-US"/>
          <w14:ligatures w14:val="standardContextual"/>
        </w:rPr>
        <w:t>Por ello, los bloques</w:t>
      </w:r>
      <w:r w:rsidRPr="001D2465">
        <w:rPr>
          <w:rFonts w:ascii="Calibri" w:eastAsia="Calibri" w:hAnsi="Calibri"/>
          <w:b/>
          <w:i/>
          <w:kern w:val="2"/>
          <w:sz w:val="22"/>
          <w:szCs w:val="22"/>
          <w:lang w:eastAsia="en-US"/>
          <w14:ligatures w14:val="standardContextual"/>
        </w:rPr>
        <w:t xml:space="preserve"> UXCH y UXCH/FP proponen el siguiente proyecto de</w:t>
      </w:r>
    </w:p>
    <w:p w:rsidR="001D2465" w:rsidRPr="001D2465" w:rsidRDefault="001D2465" w:rsidP="001D2465">
      <w:pPr>
        <w:spacing w:after="160" w:line="259" w:lineRule="auto"/>
        <w:ind w:left="0"/>
        <w:jc w:val="center"/>
        <w:rPr>
          <w:rFonts w:ascii="Calibri" w:eastAsia="Calibri" w:hAnsi="Calibri"/>
          <w:b/>
          <w:i/>
          <w:kern w:val="2"/>
          <w:sz w:val="22"/>
          <w:szCs w:val="22"/>
          <w:lang w:eastAsia="en-US"/>
          <w14:ligatures w14:val="standardContextual"/>
        </w:rPr>
      </w:pPr>
    </w:p>
    <w:p w:rsidR="001D2465" w:rsidRPr="001D2465" w:rsidRDefault="001D2465" w:rsidP="001D2465">
      <w:pPr>
        <w:spacing w:after="160" w:line="259" w:lineRule="auto"/>
        <w:ind w:left="0"/>
        <w:jc w:val="center"/>
        <w:rPr>
          <w:rFonts w:ascii="Calibri" w:eastAsia="Calibri" w:hAnsi="Calibri"/>
          <w:kern w:val="2"/>
          <w:sz w:val="22"/>
          <w:szCs w:val="22"/>
          <w:u w:val="single"/>
          <w:lang w:eastAsia="en-US"/>
          <w14:ligatures w14:val="standardContextual"/>
        </w:rPr>
      </w:pPr>
      <w:r w:rsidRPr="001D2465">
        <w:rPr>
          <w:rFonts w:ascii="Calibri" w:eastAsia="Calibri" w:hAnsi="Calibri"/>
          <w:b/>
          <w:bCs/>
          <w:kern w:val="2"/>
          <w:sz w:val="22"/>
          <w:szCs w:val="22"/>
          <w:u w:val="single"/>
          <w:lang w:eastAsia="en-US"/>
          <w14:ligatures w14:val="standardContextual"/>
        </w:rPr>
        <w:t>COMUNICACIÓN</w:t>
      </w: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b/>
          <w:bCs/>
          <w:kern w:val="2"/>
          <w:sz w:val="22"/>
          <w:szCs w:val="22"/>
          <w:lang w:eastAsia="en-US"/>
          <w14:ligatures w14:val="standardContextual"/>
        </w:rPr>
        <w:t>ARTÍCULO 1</w:t>
      </w:r>
      <w:proofErr w:type="gramStart"/>
      <w:r w:rsidRPr="001D2465">
        <w:rPr>
          <w:rFonts w:ascii="Calibri" w:eastAsia="Calibri" w:hAnsi="Calibri"/>
          <w:b/>
          <w:bCs/>
          <w:kern w:val="2"/>
          <w:sz w:val="22"/>
          <w:szCs w:val="22"/>
          <w:lang w:eastAsia="en-US"/>
          <w14:ligatures w14:val="standardContextual"/>
        </w:rPr>
        <w:t>°.-</w:t>
      </w:r>
      <w:proofErr w:type="gramEnd"/>
      <w:r w:rsidRPr="001D2465">
        <w:rPr>
          <w:rFonts w:ascii="Calibri" w:eastAsia="Calibri" w:hAnsi="Calibri"/>
          <w:kern w:val="2"/>
          <w:sz w:val="22"/>
          <w:szCs w:val="22"/>
          <w:lang w:eastAsia="en-US"/>
          <w14:ligatures w14:val="standardContextual"/>
        </w:rPr>
        <w:t xml:space="preserve"> Solicítese al Departamento Ejecutivo que, en el marco de la reciente pavimentación de las calles Juárez y Dorrego en el barrio Escribano y de conformidad con lo previsto en el artículo 17 de la Ordenanza N° 5028/2016, disponga la implementación del sentido único de circulación en los nuevos tramos pavimentados de las siguientes arterias:</w:t>
      </w:r>
    </w:p>
    <w:p w:rsidR="001D2465" w:rsidRPr="001D2465" w:rsidRDefault="001D2465" w:rsidP="001D2465">
      <w:pPr>
        <w:numPr>
          <w:ilvl w:val="0"/>
          <w:numId w:val="3"/>
        </w:numPr>
        <w:spacing w:after="160" w:line="259" w:lineRule="auto"/>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Calle Juárez, entre Escribano y Fernando de Arenaza, con sentido Sur–Norte.</w:t>
      </w:r>
    </w:p>
    <w:p w:rsidR="001D2465" w:rsidRPr="001D2465" w:rsidRDefault="001D2465" w:rsidP="001D2465">
      <w:pPr>
        <w:numPr>
          <w:ilvl w:val="0"/>
          <w:numId w:val="3"/>
        </w:numPr>
        <w:spacing w:after="160" w:line="259" w:lineRule="auto"/>
        <w:jc w:val="both"/>
        <w:rPr>
          <w:rFonts w:ascii="Calibri" w:eastAsia="Calibri" w:hAnsi="Calibri"/>
          <w:kern w:val="2"/>
          <w:sz w:val="22"/>
          <w:szCs w:val="22"/>
          <w:lang w:eastAsia="en-US"/>
          <w14:ligatures w14:val="standardContextual"/>
        </w:rPr>
      </w:pPr>
      <w:r w:rsidRPr="001D2465">
        <w:rPr>
          <w:rFonts w:ascii="Calibri" w:eastAsia="Calibri" w:hAnsi="Calibri"/>
          <w:kern w:val="2"/>
          <w:sz w:val="22"/>
          <w:szCs w:val="22"/>
          <w:lang w:eastAsia="en-US"/>
          <w14:ligatures w14:val="standardContextual"/>
        </w:rPr>
        <w:t>Calle Dorrego, entre Escribano y Tucumán, con sentido Norte–Sur.</w:t>
      </w: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b/>
          <w:bCs/>
          <w:kern w:val="2"/>
          <w:sz w:val="22"/>
          <w:szCs w:val="22"/>
          <w:lang w:eastAsia="en-US"/>
          <w14:ligatures w14:val="standardContextual"/>
        </w:rPr>
        <w:t>ARTÍCULO 2</w:t>
      </w:r>
      <w:proofErr w:type="gramStart"/>
      <w:r w:rsidRPr="001D2465">
        <w:rPr>
          <w:rFonts w:ascii="Calibri" w:eastAsia="Calibri" w:hAnsi="Calibri"/>
          <w:b/>
          <w:bCs/>
          <w:kern w:val="2"/>
          <w:sz w:val="22"/>
          <w:szCs w:val="22"/>
          <w:lang w:eastAsia="en-US"/>
          <w14:ligatures w14:val="standardContextual"/>
        </w:rPr>
        <w:t>°.-</w:t>
      </w:r>
      <w:proofErr w:type="gramEnd"/>
      <w:r w:rsidRPr="001D2465">
        <w:rPr>
          <w:rFonts w:ascii="Calibri" w:eastAsia="Calibri" w:hAnsi="Calibri"/>
          <w:kern w:val="2"/>
          <w:sz w:val="22"/>
          <w:szCs w:val="22"/>
          <w:lang w:eastAsia="en-US"/>
          <w14:ligatures w14:val="standardContextual"/>
        </w:rPr>
        <w:t xml:space="preserve"> Solicítese asimismo al Departamento Ejecutivo la colocación de la correspondiente señalización vial vertical y horizontal, así como la implementación de acciones de difusión y comunicación dirigidas a vecinos y usuarios de la vía pública, con el objeto de facilitar la adaptación a los nuevos sentidos de circulación, promover su efectivo cumplimiento y contribuir a una circulación más segura y ordenada.</w:t>
      </w:r>
    </w:p>
    <w:p w:rsidR="001D2465" w:rsidRPr="001D2465" w:rsidRDefault="001D2465" w:rsidP="001D2465">
      <w:pPr>
        <w:spacing w:after="160" w:line="259" w:lineRule="auto"/>
        <w:ind w:left="0"/>
        <w:jc w:val="both"/>
        <w:rPr>
          <w:rFonts w:ascii="Calibri" w:eastAsia="Calibri" w:hAnsi="Calibri"/>
          <w:kern w:val="2"/>
          <w:sz w:val="22"/>
          <w:szCs w:val="22"/>
          <w:lang w:eastAsia="en-US"/>
          <w14:ligatures w14:val="standardContextual"/>
        </w:rPr>
      </w:pPr>
      <w:r w:rsidRPr="001D2465">
        <w:rPr>
          <w:rFonts w:ascii="Calibri" w:eastAsia="Calibri" w:hAnsi="Calibri"/>
          <w:b/>
          <w:bCs/>
          <w:kern w:val="2"/>
          <w:sz w:val="22"/>
          <w:szCs w:val="22"/>
          <w:lang w:eastAsia="en-US"/>
          <w14:ligatures w14:val="standardContextual"/>
        </w:rPr>
        <w:t>ARTÍCULO 3</w:t>
      </w:r>
      <w:proofErr w:type="gramStart"/>
      <w:r w:rsidRPr="001D2465">
        <w:rPr>
          <w:rFonts w:ascii="Calibri" w:eastAsia="Calibri" w:hAnsi="Calibri"/>
          <w:b/>
          <w:bCs/>
          <w:kern w:val="2"/>
          <w:sz w:val="22"/>
          <w:szCs w:val="22"/>
          <w:lang w:eastAsia="en-US"/>
          <w14:ligatures w14:val="standardContextual"/>
        </w:rPr>
        <w:t>°.-</w:t>
      </w:r>
      <w:proofErr w:type="gramEnd"/>
      <w:r w:rsidRPr="001D2465">
        <w:rPr>
          <w:rFonts w:ascii="Calibri" w:eastAsia="Calibri" w:hAnsi="Calibri"/>
          <w:kern w:val="2"/>
          <w:sz w:val="22"/>
          <w:szCs w:val="22"/>
          <w:lang w:eastAsia="en-US"/>
          <w14:ligatures w14:val="standardContextual"/>
        </w:rPr>
        <w:t xml:space="preserve"> De forma.</w:t>
      </w:r>
    </w:p>
    <w:p w:rsidR="004E3386" w:rsidRPr="004E3386" w:rsidRDefault="004E3386" w:rsidP="001D2465">
      <w:pPr>
        <w:jc w:val="both"/>
        <w:rPr>
          <w:rFonts w:ascii="Arial" w:hAnsi="Arial" w:cs="Arial"/>
          <w:sz w:val="22"/>
          <w:szCs w:val="22"/>
        </w:rPr>
      </w:pP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1D2465">
      <w:pgSz w:w="12240" w:h="15840"/>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F35DD"/>
    <w:multiLevelType w:val="multilevel"/>
    <w:tmpl w:val="1F70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1D2465"/>
    <w:rsid w:val="002239A5"/>
    <w:rsid w:val="004E3386"/>
    <w:rsid w:val="00534EC3"/>
    <w:rsid w:val="005831F5"/>
    <w:rsid w:val="00600714"/>
    <w:rsid w:val="006919E3"/>
    <w:rsid w:val="0078432B"/>
    <w:rsid w:val="00937C11"/>
    <w:rsid w:val="00956564"/>
    <w:rsid w:val="00956B25"/>
    <w:rsid w:val="00A209DF"/>
    <w:rsid w:val="00AA24E1"/>
    <w:rsid w:val="00B16220"/>
    <w:rsid w:val="00BC4ADB"/>
    <w:rsid w:val="00C156AA"/>
    <w:rsid w:val="00C6261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33248"/>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2</cp:revision>
  <cp:lastPrinted>2026-07-06T15:01:00Z</cp:lastPrinted>
  <dcterms:created xsi:type="dcterms:W3CDTF">2026-07-21T13:33:00Z</dcterms:created>
  <dcterms:modified xsi:type="dcterms:W3CDTF">2026-07-21T13:33:00Z</dcterms:modified>
</cp:coreProperties>
</file>