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B5F26" w14:textId="1D177E22" w:rsidR="00122DFE" w:rsidRPr="00A33D3B" w:rsidRDefault="00122DFE" w:rsidP="00122DFE">
      <w:pPr>
        <w:spacing w:line="360" w:lineRule="auto"/>
        <w:jc w:val="right"/>
        <w:rPr>
          <w:rFonts w:ascii="Arial" w:eastAsia="Arial" w:hAnsi="Arial" w:cs="Arial"/>
        </w:rPr>
      </w:pPr>
      <w:r w:rsidRPr="00A33D3B">
        <w:rPr>
          <w:rFonts w:ascii="Arial" w:eastAsia="Arial" w:hAnsi="Arial" w:cs="Arial"/>
        </w:rPr>
        <w:t xml:space="preserve">Chascomús, </w:t>
      </w:r>
      <w:r>
        <w:rPr>
          <w:rFonts w:ascii="Arial" w:eastAsia="Arial" w:hAnsi="Arial" w:cs="Arial"/>
        </w:rPr>
        <w:t xml:space="preserve">11 </w:t>
      </w:r>
      <w:r w:rsidRPr="00A33D3B">
        <w:rPr>
          <w:rFonts w:ascii="Arial" w:eastAsia="Arial" w:hAnsi="Arial" w:cs="Arial"/>
        </w:rPr>
        <w:t xml:space="preserve">de </w:t>
      </w:r>
      <w:r>
        <w:rPr>
          <w:rFonts w:ascii="Arial" w:eastAsia="Arial" w:hAnsi="Arial" w:cs="Arial"/>
        </w:rPr>
        <w:t>Agosto de</w:t>
      </w:r>
      <w:r w:rsidRPr="00A33D3B">
        <w:rPr>
          <w:rFonts w:ascii="Arial" w:eastAsia="Arial" w:hAnsi="Arial" w:cs="Arial"/>
        </w:rPr>
        <w:t xml:space="preserve"> 202</w:t>
      </w:r>
      <w:r>
        <w:rPr>
          <w:rFonts w:ascii="Arial" w:eastAsia="Arial" w:hAnsi="Arial" w:cs="Arial"/>
        </w:rPr>
        <w:t>6</w:t>
      </w:r>
    </w:p>
    <w:p w14:paraId="3BADEAC1" w14:textId="77777777" w:rsidR="00122DFE" w:rsidRPr="00A33D3B" w:rsidRDefault="00122DFE" w:rsidP="00122DFE">
      <w:pPr>
        <w:spacing w:line="360" w:lineRule="auto"/>
        <w:jc w:val="both"/>
        <w:rPr>
          <w:rFonts w:ascii="Arial" w:eastAsia="Arial" w:hAnsi="Arial" w:cs="Arial"/>
        </w:rPr>
      </w:pPr>
      <w:r w:rsidRPr="00A33D3B">
        <w:rPr>
          <w:rFonts w:ascii="Arial" w:eastAsia="Arial" w:hAnsi="Arial" w:cs="Arial"/>
        </w:rPr>
        <w:t>Sr. Presidente del</w:t>
      </w:r>
    </w:p>
    <w:p w14:paraId="1A13BF90" w14:textId="77777777" w:rsidR="00122DFE" w:rsidRPr="00A33D3B" w:rsidRDefault="00122DFE" w:rsidP="00122DFE">
      <w:pPr>
        <w:spacing w:line="360" w:lineRule="auto"/>
        <w:jc w:val="both"/>
        <w:rPr>
          <w:rFonts w:ascii="Arial" w:eastAsia="Arial" w:hAnsi="Arial" w:cs="Arial"/>
        </w:rPr>
      </w:pPr>
      <w:r w:rsidRPr="00A33D3B">
        <w:rPr>
          <w:rFonts w:ascii="Arial" w:eastAsia="Arial" w:hAnsi="Arial" w:cs="Arial"/>
        </w:rPr>
        <w:t>Honorable Concejo Deliberante</w:t>
      </w:r>
    </w:p>
    <w:p w14:paraId="02A8BBCD" w14:textId="77777777" w:rsidR="00122DFE" w:rsidRPr="00A33D3B" w:rsidRDefault="00122DFE" w:rsidP="00122DFE">
      <w:pPr>
        <w:spacing w:line="360" w:lineRule="auto"/>
        <w:jc w:val="both"/>
        <w:rPr>
          <w:rFonts w:ascii="Arial" w:eastAsia="Arial" w:hAnsi="Arial" w:cs="Arial"/>
          <w:b/>
        </w:rPr>
      </w:pPr>
      <w:r>
        <w:rPr>
          <w:rFonts w:ascii="Arial" w:eastAsia="Arial" w:hAnsi="Arial" w:cs="Arial"/>
          <w:b/>
        </w:rPr>
        <w:t>OSCAR FREDDY TOLEDO</w:t>
      </w:r>
    </w:p>
    <w:p w14:paraId="1E395BB3" w14:textId="77777777" w:rsidR="00122DFE" w:rsidRPr="00A33D3B" w:rsidRDefault="00122DFE" w:rsidP="00122DFE">
      <w:pPr>
        <w:spacing w:line="360" w:lineRule="auto"/>
        <w:jc w:val="both"/>
        <w:rPr>
          <w:rFonts w:ascii="Arial" w:eastAsia="Arial" w:hAnsi="Arial" w:cs="Arial"/>
        </w:rPr>
      </w:pPr>
      <w:r w:rsidRPr="00A33D3B">
        <w:rPr>
          <w:rFonts w:ascii="Arial" w:eastAsia="Arial" w:hAnsi="Arial" w:cs="Arial"/>
          <w:b/>
        </w:rPr>
        <w:t>S/D.</w:t>
      </w:r>
    </w:p>
    <w:p w14:paraId="197FACA9" w14:textId="77777777" w:rsidR="00122DFE" w:rsidRPr="00A33D3B" w:rsidRDefault="00122DFE" w:rsidP="00122DFE">
      <w:pPr>
        <w:spacing w:line="360" w:lineRule="auto"/>
        <w:jc w:val="both"/>
        <w:rPr>
          <w:rFonts w:ascii="Arial" w:eastAsia="Arial" w:hAnsi="Arial" w:cs="Arial"/>
        </w:rPr>
      </w:pPr>
      <w:r w:rsidRPr="00A33D3B">
        <w:rPr>
          <w:rFonts w:ascii="Arial" w:eastAsia="Arial" w:hAnsi="Arial" w:cs="Arial"/>
        </w:rPr>
        <w:t>De nuestra consideración:</w:t>
      </w:r>
    </w:p>
    <w:p w14:paraId="520F9693" w14:textId="77777777" w:rsidR="00122DFE" w:rsidRDefault="00122DFE" w:rsidP="00122DFE">
      <w:pPr>
        <w:pBdr>
          <w:top w:val="nil"/>
          <w:left w:val="nil"/>
          <w:bottom w:val="nil"/>
          <w:right w:val="nil"/>
          <w:between w:val="nil"/>
        </w:pBdr>
        <w:spacing w:line="360" w:lineRule="auto"/>
        <w:ind w:firstLine="2268"/>
        <w:jc w:val="both"/>
        <w:rPr>
          <w:rFonts w:ascii="Arial" w:eastAsia="Arial" w:hAnsi="Arial" w:cs="Arial"/>
          <w:color w:val="000000"/>
        </w:rPr>
      </w:pPr>
      <w:r w:rsidRPr="00A33D3B">
        <w:rPr>
          <w:rFonts w:ascii="Arial" w:eastAsia="Arial" w:hAnsi="Arial" w:cs="Arial"/>
          <w:color w:val="000000"/>
        </w:rPr>
        <w:t xml:space="preserve">     Remitimos copia del presente proyecto para ser incluida en el orden del día de la próxima sesión.</w:t>
      </w:r>
    </w:p>
    <w:p w14:paraId="31913396" w14:textId="45F244A0" w:rsidR="00122DFE" w:rsidRDefault="00122DFE" w:rsidP="00E8377A">
      <w:pPr>
        <w:spacing w:before="100" w:beforeAutospacing="1" w:after="100" w:afterAutospacing="1" w:line="240" w:lineRule="auto"/>
        <w:rPr>
          <w:rFonts w:ascii="Arial" w:eastAsia="Times New Roman" w:hAnsi="Arial" w:cs="Arial"/>
          <w:b/>
          <w:bCs/>
          <w:kern w:val="0"/>
          <w:sz w:val="24"/>
          <w:szCs w:val="24"/>
          <w:lang w:val="es-AR" w:eastAsia="es-AR"/>
          <w14:ligatures w14:val="none"/>
        </w:rPr>
      </w:pPr>
      <w:r>
        <w:rPr>
          <w:rFonts w:ascii="Arial" w:eastAsia="Times New Roman" w:hAnsi="Arial" w:cs="Arial"/>
          <w:b/>
          <w:bCs/>
          <w:kern w:val="0"/>
          <w:sz w:val="24"/>
          <w:szCs w:val="24"/>
          <w:lang w:val="es-AR" w:eastAsia="es-AR"/>
          <w14:ligatures w14:val="none"/>
        </w:rPr>
        <w:t>SOLICITASE AL DEPARTAMENTO EJECUTIVO INFORME SOBRE LA AYUDA ALIMENTARIA.</w:t>
      </w:r>
    </w:p>
    <w:p w14:paraId="5BFDDE4E" w14:textId="65024289" w:rsidR="00E8377A" w:rsidRPr="00122DFE" w:rsidRDefault="00E8377A" w:rsidP="00E8377A">
      <w:pPr>
        <w:spacing w:before="100" w:beforeAutospacing="1" w:after="100" w:afterAutospacing="1" w:line="240" w:lineRule="auto"/>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VISTO:</w:t>
      </w:r>
    </w:p>
    <w:p w14:paraId="35463B6A"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Las recientes declaraciones públicas del Secretario de Desarrollo Social, Leandro Bordalecou, quien informó que durante el primer semestre de 2026 el Municipio destinó $304.541.301 a asistencia alimentaria y que la demanda de dicha asistencia se incrementó en un 55% respecto del año anterior; y</w:t>
      </w:r>
    </w:p>
    <w:p w14:paraId="62622C9E" w14:textId="77777777" w:rsidR="00E8377A" w:rsidRPr="00122DFE" w:rsidRDefault="00E8377A" w:rsidP="00122DFE">
      <w:pPr>
        <w:spacing w:before="100" w:beforeAutospacing="1" w:after="100" w:afterAutospacing="1" w:line="160" w:lineRule="atLeast"/>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CONSIDERANDO:</w:t>
      </w:r>
    </w:p>
    <w:p w14:paraId="6B56A4CE"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el propio Departamento Ejecutivo ha reconocido que el perfil de quienes necesitan asistencia alimentaria ha cambiado, alcanzando actualmente a familias cuyos integrantes cuentan con un empleo formal, pero cuyos ingresos no resultan suficientes para cubrir las necesidades básicas;</w:t>
      </w:r>
    </w:p>
    <w:p w14:paraId="75FD52E4"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esta realidad obliga a prestar especial atención a la situación de los trabajadores municipales y sus familias, particularmente frente a la evolución del costo de los alimentos y de los bienes y servicios indispensables para sostener una vida digna;</w:t>
      </w:r>
    </w:p>
    <w:p w14:paraId="1261EFF0"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resulta particularmente preocupante que una persona que trabaja todos los días para el Municipio pueda, al mismo tiempo, necesitar asistencia alimentaria para complementar los ingresos de su hogar;</w:t>
      </w:r>
    </w:p>
    <w:p w14:paraId="523E8E72"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lastRenderedPageBreak/>
        <w:t xml:space="preserve">Que, conforme los datos publicados por el Instituto Nacional de Estadística y Censos (INDEC), durante junio de 2026 una familia tipo necesitó ingresos por </w:t>
      </w:r>
      <w:r w:rsidRPr="00122DFE">
        <w:rPr>
          <w:rFonts w:ascii="Arial" w:eastAsia="Times New Roman" w:hAnsi="Arial" w:cs="Arial"/>
          <w:b/>
          <w:bCs/>
          <w:kern w:val="0"/>
          <w:sz w:val="24"/>
          <w:szCs w:val="24"/>
          <w:lang w:val="es-AR" w:eastAsia="es-AR"/>
          <w14:ligatures w14:val="none"/>
        </w:rPr>
        <w:t>$1.531.473 para superar la línea de pobreza</w:t>
      </w:r>
      <w:r w:rsidRPr="00122DFE">
        <w:rPr>
          <w:rFonts w:ascii="Arial" w:eastAsia="Times New Roman" w:hAnsi="Arial" w:cs="Arial"/>
          <w:kern w:val="0"/>
          <w:sz w:val="24"/>
          <w:szCs w:val="24"/>
          <w:lang w:val="es-AR" w:eastAsia="es-AR"/>
          <w14:ligatures w14:val="none"/>
        </w:rPr>
        <w:t xml:space="preserve">, mientras que la </w:t>
      </w:r>
      <w:r w:rsidRPr="00122DFE">
        <w:rPr>
          <w:rFonts w:ascii="Arial" w:eastAsia="Times New Roman" w:hAnsi="Arial" w:cs="Arial"/>
          <w:b/>
          <w:bCs/>
          <w:kern w:val="0"/>
          <w:sz w:val="24"/>
          <w:szCs w:val="24"/>
          <w:lang w:val="es-AR" w:eastAsia="es-AR"/>
          <w14:ligatures w14:val="none"/>
        </w:rPr>
        <w:t>Canasta Básica Alimentaria (CBA) alcanzó los $689.853</w:t>
      </w:r>
      <w:r w:rsidRPr="00122DFE">
        <w:rPr>
          <w:rFonts w:ascii="Arial" w:eastAsia="Times New Roman" w:hAnsi="Arial" w:cs="Arial"/>
          <w:kern w:val="0"/>
          <w:sz w:val="24"/>
          <w:szCs w:val="24"/>
          <w:lang w:val="es-AR" w:eastAsia="es-AR"/>
          <w14:ligatures w14:val="none"/>
        </w:rPr>
        <w:t>, valor utilizado como referencia para determinar la línea de indigencia;</w:t>
      </w:r>
    </w:p>
    <w:p w14:paraId="44EB9776"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estos valores permiten dimensionar objetivamente el costo que actualmente representa para una familia satisfacer sus necesidades básicas y alimentarias;</w:t>
      </w:r>
    </w:p>
    <w:p w14:paraId="1D1E60DD"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 xml:space="preserve">Que, durante el corriente año, el Departamento Ejecutivo acordó para los trabajadores municipales un incremento salarial del </w:t>
      </w:r>
      <w:r w:rsidRPr="00122DFE">
        <w:rPr>
          <w:rFonts w:ascii="Arial" w:eastAsia="Times New Roman" w:hAnsi="Arial" w:cs="Arial"/>
          <w:b/>
          <w:bCs/>
          <w:kern w:val="0"/>
          <w:sz w:val="24"/>
          <w:szCs w:val="24"/>
          <w:lang w:val="es-AR" w:eastAsia="es-AR"/>
          <w14:ligatures w14:val="none"/>
        </w:rPr>
        <w:t>13% en dos tramos</w:t>
      </w:r>
      <w:r w:rsidRPr="00122DFE">
        <w:rPr>
          <w:rFonts w:ascii="Arial" w:eastAsia="Times New Roman" w:hAnsi="Arial" w:cs="Arial"/>
          <w:kern w:val="0"/>
          <w:sz w:val="24"/>
          <w:szCs w:val="24"/>
          <w:lang w:val="es-AR" w:eastAsia="es-AR"/>
          <w14:ligatures w14:val="none"/>
        </w:rPr>
        <w:t xml:space="preserve">, mientras que la Canasta Básica Total registró durante el primer semestre del año un incremento acumulado del </w:t>
      </w:r>
      <w:r w:rsidRPr="00122DFE">
        <w:rPr>
          <w:rFonts w:ascii="Arial" w:eastAsia="Times New Roman" w:hAnsi="Arial" w:cs="Arial"/>
          <w:b/>
          <w:bCs/>
          <w:kern w:val="0"/>
          <w:sz w:val="24"/>
          <w:szCs w:val="24"/>
          <w:lang w:val="es-AR" w:eastAsia="es-AR"/>
          <w14:ligatures w14:val="none"/>
        </w:rPr>
        <w:t>17%</w:t>
      </w:r>
      <w:r w:rsidRPr="00122DFE">
        <w:rPr>
          <w:rFonts w:ascii="Arial" w:eastAsia="Times New Roman" w:hAnsi="Arial" w:cs="Arial"/>
          <w:kern w:val="0"/>
          <w:sz w:val="24"/>
          <w:szCs w:val="24"/>
          <w:lang w:val="es-AR" w:eastAsia="es-AR"/>
          <w14:ligatures w14:val="none"/>
        </w:rPr>
        <w:t>, circunstancia que evidencia la necesidad de analizar la evolución real del poder adquisitivo de los salarios municipales;</w:t>
      </w:r>
    </w:p>
    <w:p w14:paraId="3176AD57" w14:textId="374DCBAF"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no se trata solamente de comparar porcentajes de incrementos, sino de determinar si los ingresos efectivamente percibidos por los trabajadores municipales alcanzan para cubrir las necesidades básicas de sus hogares;</w:t>
      </w:r>
    </w:p>
    <w:p w14:paraId="30E4BF25"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existe una particular responsabilidad del Municipio como empleador, dado que quienes prestan servicios en la Administración Municipal deben poder desarrollar su trabajo en condiciones que les permitan sostener dignamente a sus familias;</w:t>
      </w:r>
    </w:p>
    <w:p w14:paraId="5285AE6E"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 xml:space="preserve">Que, al mismo tiempo, el Departamento Ejecutivo ha informado una inversión de </w:t>
      </w:r>
      <w:r w:rsidRPr="00122DFE">
        <w:rPr>
          <w:rFonts w:ascii="Arial" w:eastAsia="Times New Roman" w:hAnsi="Arial" w:cs="Arial"/>
          <w:b/>
          <w:bCs/>
          <w:kern w:val="0"/>
          <w:sz w:val="24"/>
          <w:szCs w:val="24"/>
          <w:lang w:val="es-AR" w:eastAsia="es-AR"/>
          <w14:ligatures w14:val="none"/>
        </w:rPr>
        <w:t>$304.541.301 en asistencia alimentaria durante el primer semestre de 2026</w:t>
      </w:r>
      <w:r w:rsidRPr="00122DFE">
        <w:rPr>
          <w:rFonts w:ascii="Arial" w:eastAsia="Times New Roman" w:hAnsi="Arial" w:cs="Arial"/>
          <w:kern w:val="0"/>
          <w:sz w:val="24"/>
          <w:szCs w:val="24"/>
          <w:lang w:val="es-AR" w:eastAsia="es-AR"/>
          <w14:ligatures w14:val="none"/>
        </w:rPr>
        <w:t xml:space="preserve">, junto con un incremento del </w:t>
      </w:r>
      <w:r w:rsidRPr="00122DFE">
        <w:rPr>
          <w:rFonts w:ascii="Arial" w:eastAsia="Times New Roman" w:hAnsi="Arial" w:cs="Arial"/>
          <w:b/>
          <w:bCs/>
          <w:kern w:val="0"/>
          <w:sz w:val="24"/>
          <w:szCs w:val="24"/>
          <w:lang w:val="es-AR" w:eastAsia="es-AR"/>
          <w14:ligatures w14:val="none"/>
        </w:rPr>
        <w:t>55% en la demanda respecto del año anterior</w:t>
      </w:r>
      <w:r w:rsidRPr="00122DFE">
        <w:rPr>
          <w:rFonts w:ascii="Arial" w:eastAsia="Times New Roman" w:hAnsi="Arial" w:cs="Arial"/>
          <w:kern w:val="0"/>
          <w:sz w:val="24"/>
          <w:szCs w:val="24"/>
          <w:lang w:val="es-AR" w:eastAsia="es-AR"/>
          <w14:ligatures w14:val="none"/>
        </w:rPr>
        <w:t>;</w:t>
      </w:r>
    </w:p>
    <w:p w14:paraId="6D819071"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la magnitud de esos recursos y el crecimiento de la demanda hacen necesario conocer con mayor precisión quiénes son las personas alcanzadas por la asistencia y cuáles son las causas que explican dicho crecimiento;</w:t>
      </w:r>
    </w:p>
    <w:p w14:paraId="1E8F4121"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resulta particularmente relevante determinar si entre los beneficiarios de la asistencia alimentaria municipal existen trabajadores de la propia Administración Municipal, sin que ello implique estigmatizar, identificar ni exponer a ninguna persona;</w:t>
      </w:r>
    </w:p>
    <w:p w14:paraId="78C24F0D"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si existieran trabajadores municipales que deben recurrir a la asistencia alimentaria para complementar sus ingresos, ello constituiría un dato de relevancia para evaluar la suficiencia de la política salarial y las condiciones económicas en las que desarrollan sus tareas;</w:t>
      </w:r>
    </w:p>
    <w:p w14:paraId="515F8B2D"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lastRenderedPageBreak/>
        <w:t>Que, del mismo modo, no corresponde afirmar de manera anticipada que el incremento de la demanda asistencial sea consecuencia de la política salarial municipal, sino que resulta necesario contar con información objetiva que permita establecer, o descartar, dicha relación;</w:t>
      </w:r>
    </w:p>
    <w:p w14:paraId="596B1516"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este Honorable Concejo Deliberante tiene la responsabilidad de solicitar esa información y analizarla, especialmente cuando se encuentran involucrados recursos públicos, condiciones laborales y necesidades básicas de las familias de trabajadores municipales;</w:t>
      </w:r>
    </w:p>
    <w:p w14:paraId="7C14E1BA" w14:textId="764E4BFB"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la discusión sobre los salarios municipales no puede limitarse al porcentaje nominal de los incrementos, sino que debe considerar su capacidad real para afrontar el costo de vida y, particularmente, el valor de las canastas básicas publicadas por el INDEC;</w:t>
      </w:r>
    </w:p>
    <w:p w14:paraId="48249C9F" w14:textId="7D6B3402" w:rsidR="00E8377A"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Que conocer cuántos trabajadores municipales se encuentran por debajo, en torno o por encima de dichos valores permitirá contar con el panorama concreto de la situación salarial de la Administración Municipal y evitar que una cuestión de tanta importancia quede reducida a apreciaciones políticas o declaraciones de carácter general;</w:t>
      </w:r>
    </w:p>
    <w:p w14:paraId="07B17254" w14:textId="77777777" w:rsidR="00122DFE" w:rsidRPr="00122DFE" w:rsidRDefault="00122DFE" w:rsidP="00122DFE">
      <w:pPr>
        <w:spacing w:before="100" w:beforeAutospacing="1" w:after="100" w:afterAutospacing="1" w:line="160" w:lineRule="atLeast"/>
        <w:jc w:val="both"/>
        <w:rPr>
          <w:rFonts w:ascii="Arial" w:eastAsia="Times New Roman" w:hAnsi="Arial" w:cs="Arial"/>
          <w:kern w:val="0"/>
          <w:sz w:val="24"/>
          <w:szCs w:val="24"/>
          <w:lang w:eastAsia="es-AR"/>
          <w14:ligatures w14:val="none"/>
        </w:rPr>
      </w:pPr>
      <w:r w:rsidRPr="00122DFE">
        <w:rPr>
          <w:rFonts w:ascii="Arial" w:eastAsia="Times New Roman" w:hAnsi="Arial" w:cs="Arial"/>
          <w:kern w:val="0"/>
          <w:sz w:val="24"/>
          <w:szCs w:val="24"/>
          <w:lang w:eastAsia="es-AR"/>
          <w14:ligatures w14:val="none"/>
        </w:rPr>
        <w:t>Que, de acuerdo a Ley Orgánica de las Municipalidades, corresponde que el cuerpo solicite tal medida a través de una Comunicación en los términos del artículo 77. del citado cuerpo legal;</w:t>
      </w:r>
    </w:p>
    <w:p w14:paraId="3D7BAC6D" w14:textId="77777777" w:rsidR="00122DFE" w:rsidRPr="00122DFE" w:rsidRDefault="00122DFE" w:rsidP="00122DFE">
      <w:pPr>
        <w:spacing w:before="100" w:beforeAutospacing="1" w:after="100" w:afterAutospacing="1" w:line="160" w:lineRule="atLeast"/>
        <w:jc w:val="both"/>
        <w:rPr>
          <w:rFonts w:ascii="Arial" w:eastAsia="Times New Roman" w:hAnsi="Arial" w:cs="Arial"/>
          <w:kern w:val="0"/>
          <w:sz w:val="24"/>
          <w:szCs w:val="24"/>
          <w:lang w:val="en-US" w:eastAsia="es-AR"/>
          <w14:ligatures w14:val="none"/>
        </w:rPr>
      </w:pPr>
      <w:r w:rsidRPr="00122DFE">
        <w:rPr>
          <w:rFonts w:ascii="Arial" w:eastAsia="Times New Roman" w:hAnsi="Arial" w:cs="Arial"/>
          <w:kern w:val="0"/>
          <w:sz w:val="24"/>
          <w:szCs w:val="24"/>
          <w:lang w:val="en-US" w:eastAsia="es-AR"/>
          <w14:ligatures w14:val="none"/>
        </w:rPr>
        <w:t xml:space="preserve">Por ello, </w:t>
      </w:r>
      <w:r w:rsidRPr="00122DFE">
        <w:rPr>
          <w:rFonts w:ascii="Arial" w:eastAsia="Times New Roman" w:hAnsi="Arial" w:cs="Arial"/>
          <w:b/>
          <w:bCs/>
          <w:kern w:val="0"/>
          <w:sz w:val="24"/>
          <w:szCs w:val="24"/>
          <w:lang w:val="en-US" w:eastAsia="es-AR"/>
          <w14:ligatures w14:val="none"/>
        </w:rPr>
        <w:t>el Bloque UCR</w:t>
      </w:r>
      <w:r w:rsidRPr="00122DFE">
        <w:rPr>
          <w:rFonts w:ascii="Arial" w:eastAsia="Times New Roman" w:hAnsi="Arial" w:cs="Arial"/>
          <w:kern w:val="0"/>
          <w:sz w:val="24"/>
          <w:szCs w:val="24"/>
          <w:lang w:val="en-US" w:eastAsia="es-AR"/>
          <w14:ligatures w14:val="none"/>
        </w:rPr>
        <w:t xml:space="preserve"> en atribución a sus facultades que le confiere la Ley Orgánica de las Municipalidades, propone lo siguiente:</w:t>
      </w:r>
    </w:p>
    <w:p w14:paraId="71335AD7" w14:textId="369A81FF" w:rsidR="00122DFE" w:rsidRPr="00122DFE" w:rsidRDefault="00122DFE" w:rsidP="00122DFE">
      <w:pPr>
        <w:spacing w:before="100" w:beforeAutospacing="1" w:after="100" w:afterAutospacing="1" w:line="160" w:lineRule="atLeast"/>
        <w:jc w:val="center"/>
        <w:rPr>
          <w:rFonts w:ascii="Arial" w:eastAsia="Times New Roman" w:hAnsi="Arial" w:cs="Arial"/>
          <w:b/>
          <w:bCs/>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PROYECTO DE COMUNICACION</w:t>
      </w:r>
    </w:p>
    <w:p w14:paraId="431697E3" w14:textId="4EC751C9"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ARTÍCULO 1º.-</w:t>
      </w:r>
      <w:r w:rsidRPr="00122DFE">
        <w:rPr>
          <w:rFonts w:ascii="Arial" w:eastAsia="Times New Roman" w:hAnsi="Arial" w:cs="Arial"/>
          <w:kern w:val="0"/>
          <w:sz w:val="24"/>
          <w:szCs w:val="24"/>
          <w:lang w:val="es-AR" w:eastAsia="es-AR"/>
          <w14:ligatures w14:val="none"/>
        </w:rPr>
        <w:t xml:space="preserve"> Solicitase al Departamento Ejecutivo Municipal que, a través de las áreas correspondientes, informe a este Cuerpo, dentro de 10 días hábiles de elevada la presente, la siguiente información correspondiente al personal de la Administración Municipal:</w:t>
      </w:r>
    </w:p>
    <w:p w14:paraId="54CDB1BC" w14:textId="024CC571"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a)</w:t>
      </w:r>
      <w:r w:rsidRPr="00122DFE">
        <w:rPr>
          <w:rFonts w:ascii="Arial" w:eastAsia="Times New Roman" w:hAnsi="Arial" w:cs="Arial"/>
          <w:kern w:val="0"/>
          <w:sz w:val="24"/>
          <w:szCs w:val="24"/>
          <w:lang w:val="es-AR" w:eastAsia="es-AR"/>
          <w14:ligatures w14:val="none"/>
        </w:rPr>
        <w:t xml:space="preserve"> Cantidad total de agentes municipales que, a la fecha de respuesta de la presente, se encuentran registrados como beneficiarios del </w:t>
      </w:r>
      <w:r w:rsidRPr="00122DFE">
        <w:rPr>
          <w:rFonts w:ascii="Arial" w:eastAsia="Times New Roman" w:hAnsi="Arial" w:cs="Arial"/>
          <w:b/>
          <w:bCs/>
          <w:kern w:val="0"/>
          <w:sz w:val="24"/>
          <w:szCs w:val="24"/>
          <w:lang w:val="es-AR" w:eastAsia="es-AR"/>
          <w14:ligatures w14:val="none"/>
        </w:rPr>
        <w:t>Complemento Alimentario Municipal (CAM)</w:t>
      </w:r>
      <w:r w:rsidRPr="00122DFE">
        <w:rPr>
          <w:rFonts w:ascii="Arial" w:eastAsia="Times New Roman" w:hAnsi="Arial" w:cs="Arial"/>
          <w:kern w:val="0"/>
          <w:sz w:val="24"/>
          <w:szCs w:val="24"/>
          <w:lang w:val="es-AR" w:eastAsia="es-AR"/>
          <w14:ligatures w14:val="none"/>
        </w:rPr>
        <w:t>, indicando la cantidad discriminada por planta permanente, planta temporaria y demás modalidades de vinculación laboral que correspondan.</w:t>
      </w:r>
    </w:p>
    <w:p w14:paraId="72286411" w14:textId="4D639DE2"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b)</w:t>
      </w:r>
      <w:r w:rsidRPr="00122DFE">
        <w:rPr>
          <w:rFonts w:ascii="Arial" w:eastAsia="Times New Roman" w:hAnsi="Arial" w:cs="Arial"/>
          <w:kern w:val="0"/>
          <w:sz w:val="24"/>
          <w:szCs w:val="24"/>
          <w:lang w:val="es-AR" w:eastAsia="es-AR"/>
          <w14:ligatures w14:val="none"/>
        </w:rPr>
        <w:t xml:space="preserve"> Cantidad total de agentes municipales que se encuentran registrados como beneficiarios de módulos alimentarios, comedores y/o merenderos asistidos por la Municipalidad de Chascomús, discriminando, cuando resulte posible, la modalidad de asistencia recibida y la condición laboral del agente.</w:t>
      </w:r>
    </w:p>
    <w:p w14:paraId="1293DA2A" w14:textId="77777777" w:rsidR="00E8377A" w:rsidRPr="00122DFE" w:rsidRDefault="00E8377A" w:rsidP="00122DFE">
      <w:pPr>
        <w:spacing w:before="100" w:beforeAutospacing="1" w:after="100" w:afterAutospacing="1" w:line="160" w:lineRule="atLeast"/>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En ambos casos deberá preservarse estrictamente la identidad y todo dato personal de los beneficiarios.</w:t>
      </w:r>
    </w:p>
    <w:p w14:paraId="4D2525A5" w14:textId="5C41A5E9" w:rsidR="00E8377A" w:rsidRPr="00122DFE" w:rsidRDefault="00E8377A" w:rsidP="00122DFE">
      <w:pPr>
        <w:spacing w:before="100" w:beforeAutospacing="1" w:after="100" w:afterAutospacing="1" w:line="160" w:lineRule="atLeast"/>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c)</w:t>
      </w:r>
      <w:r w:rsidRPr="00122DFE">
        <w:rPr>
          <w:rFonts w:ascii="Arial" w:eastAsia="Times New Roman" w:hAnsi="Arial" w:cs="Arial"/>
          <w:kern w:val="0"/>
          <w:sz w:val="24"/>
          <w:szCs w:val="24"/>
          <w:lang w:val="es-AR" w:eastAsia="es-AR"/>
          <w14:ligatures w14:val="none"/>
        </w:rPr>
        <w:t xml:space="preserve"> Del total de agentes que integran la Administración Municipal, indicar la cantidad y el porcentaje que percibe una remuneración neta mensual:</w:t>
      </w:r>
    </w:p>
    <w:p w14:paraId="2522011C" w14:textId="77777777" w:rsidR="00E8377A" w:rsidRPr="00122DFE" w:rsidRDefault="00E8377A" w:rsidP="00122DFE">
      <w:pPr>
        <w:numPr>
          <w:ilvl w:val="0"/>
          <w:numId w:val="1"/>
        </w:num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 xml:space="preserve">inferior al valor de la </w:t>
      </w:r>
      <w:r w:rsidRPr="00122DFE">
        <w:rPr>
          <w:rFonts w:ascii="Arial" w:eastAsia="Times New Roman" w:hAnsi="Arial" w:cs="Arial"/>
          <w:b/>
          <w:bCs/>
          <w:kern w:val="0"/>
          <w:sz w:val="24"/>
          <w:szCs w:val="24"/>
          <w:lang w:val="es-AR" w:eastAsia="es-AR"/>
          <w14:ligatures w14:val="none"/>
        </w:rPr>
        <w:t>Canasta Básica Alimentaria (CBA)</w:t>
      </w:r>
      <w:r w:rsidRPr="00122DFE">
        <w:rPr>
          <w:rFonts w:ascii="Arial" w:eastAsia="Times New Roman" w:hAnsi="Arial" w:cs="Arial"/>
          <w:kern w:val="0"/>
          <w:sz w:val="24"/>
          <w:szCs w:val="24"/>
          <w:lang w:val="es-AR" w:eastAsia="es-AR"/>
          <w14:ligatures w14:val="none"/>
        </w:rPr>
        <w:t xml:space="preserve"> correspondiente al último período publicado por el INDEC al momento de elaborar la respuesta;</w:t>
      </w:r>
    </w:p>
    <w:p w14:paraId="249164AB" w14:textId="77777777" w:rsidR="00E8377A" w:rsidRPr="00122DFE" w:rsidRDefault="00E8377A" w:rsidP="00122DFE">
      <w:pPr>
        <w:numPr>
          <w:ilvl w:val="0"/>
          <w:numId w:val="1"/>
        </w:num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 xml:space="preserve">igual o superior a la CBA pero inferior al valor de la </w:t>
      </w:r>
      <w:r w:rsidRPr="00122DFE">
        <w:rPr>
          <w:rFonts w:ascii="Arial" w:eastAsia="Times New Roman" w:hAnsi="Arial" w:cs="Arial"/>
          <w:b/>
          <w:bCs/>
          <w:kern w:val="0"/>
          <w:sz w:val="24"/>
          <w:szCs w:val="24"/>
          <w:lang w:val="es-AR" w:eastAsia="es-AR"/>
          <w14:ligatures w14:val="none"/>
        </w:rPr>
        <w:t>Canasta Básica Total (CBT)</w:t>
      </w:r>
      <w:r w:rsidRPr="00122DFE">
        <w:rPr>
          <w:rFonts w:ascii="Arial" w:eastAsia="Times New Roman" w:hAnsi="Arial" w:cs="Arial"/>
          <w:kern w:val="0"/>
          <w:sz w:val="24"/>
          <w:szCs w:val="24"/>
          <w:lang w:val="es-AR" w:eastAsia="es-AR"/>
          <w14:ligatures w14:val="none"/>
        </w:rPr>
        <w:t xml:space="preserve"> correspondiente al mismo período;</w:t>
      </w:r>
    </w:p>
    <w:p w14:paraId="78CFB142" w14:textId="77777777" w:rsidR="00E8377A" w:rsidRPr="00122DFE" w:rsidRDefault="00E8377A" w:rsidP="00122DFE">
      <w:pPr>
        <w:numPr>
          <w:ilvl w:val="0"/>
          <w:numId w:val="1"/>
        </w:num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igual o superior al valor de la CBT.</w:t>
      </w:r>
    </w:p>
    <w:p w14:paraId="52D03992" w14:textId="1562EDEA"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d)</w:t>
      </w:r>
      <w:r w:rsidRPr="00122DFE">
        <w:rPr>
          <w:rFonts w:ascii="Arial" w:eastAsia="Times New Roman" w:hAnsi="Arial" w:cs="Arial"/>
          <w:kern w:val="0"/>
          <w:sz w:val="24"/>
          <w:szCs w:val="24"/>
          <w:lang w:val="es-AR" w:eastAsia="es-AR"/>
          <w14:ligatures w14:val="none"/>
        </w:rPr>
        <w:t xml:space="preserve"> Informar las remuneraciones netas mensuales correspondientes a las categorías, agrupamientos y/o niveles de ingreso inicial de la Administración Municipal, discriminando según el régimen laboral y categoría que corresponda.</w:t>
      </w:r>
    </w:p>
    <w:p w14:paraId="193D74FA"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Asimismo, indicar qué porcentaje representa cada una de dichas remuneraciones respecto del valor de la CBA y de la CBT utilizadas como referencia.</w:t>
      </w:r>
    </w:p>
    <w:p w14:paraId="65BD539D" w14:textId="37FD5DD1"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e)</w:t>
      </w:r>
      <w:r w:rsidRPr="00122DFE">
        <w:rPr>
          <w:rFonts w:ascii="Arial" w:eastAsia="Times New Roman" w:hAnsi="Arial" w:cs="Arial"/>
          <w:kern w:val="0"/>
          <w:sz w:val="24"/>
          <w:szCs w:val="24"/>
          <w:lang w:val="es-AR" w:eastAsia="es-AR"/>
          <w14:ligatures w14:val="none"/>
        </w:rPr>
        <w:t xml:space="preserve"> Informar la cantidad de agentes municipales cuya remuneración neta mensual, luego de efectuados los descuentos correspondientes, resulta inferior al valor de la CBA y la cantidad cuya remuneración resulta inferior al valor de la CBT, tomando como referencia el último período publicado por el INDEC.</w:t>
      </w:r>
    </w:p>
    <w:p w14:paraId="2B3DA21A" w14:textId="6D7148EB"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f)</w:t>
      </w:r>
      <w:r w:rsidRPr="00122DFE">
        <w:rPr>
          <w:rFonts w:ascii="Arial" w:eastAsia="Times New Roman" w:hAnsi="Arial" w:cs="Arial"/>
          <w:kern w:val="0"/>
          <w:sz w:val="24"/>
          <w:szCs w:val="24"/>
          <w:lang w:val="es-AR" w:eastAsia="es-AR"/>
          <w14:ligatures w14:val="none"/>
        </w:rPr>
        <w:t xml:space="preserve"> Informar si el Departamento Ejecutivo ha realizado durante el año 2026 algún relevamiento, estudio, informe o análisis destinado a determinar la cantidad de trabajadores municipales que requieren asistencia alimentaria o cuya remuneración resulta insuficiente para cubrir las necesidades básicas de sus hogares.</w:t>
      </w:r>
    </w:p>
    <w:p w14:paraId="768080C8" w14:textId="77777777" w:rsidR="00E8377A" w:rsidRPr="00122DFE" w:rsidRDefault="00E8377A" w:rsidP="00122DFE">
      <w:pPr>
        <w:spacing w:before="100" w:beforeAutospacing="1" w:after="100" w:afterAutospacing="1" w:line="160" w:lineRule="atLeast"/>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En caso afirmativo, remitir copia de dichos estudios, informes o relevamientos.</w:t>
      </w:r>
    </w:p>
    <w:p w14:paraId="3AD9617B" w14:textId="69D69426"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g)</w:t>
      </w:r>
      <w:r w:rsidRPr="00122DFE">
        <w:rPr>
          <w:rFonts w:ascii="Arial" w:eastAsia="Times New Roman" w:hAnsi="Arial" w:cs="Arial"/>
          <w:kern w:val="0"/>
          <w:sz w:val="24"/>
          <w:szCs w:val="24"/>
          <w:lang w:val="es-AR" w:eastAsia="es-AR"/>
          <w14:ligatures w14:val="none"/>
        </w:rPr>
        <w:t xml:space="preserve"> Informar si el Departamento Ejecutivo ha analizado la posible relación entre la evolución de los salarios municipales y el incremento de la demanda de asistencia alimentaria registrado durante el año 2026.</w:t>
      </w:r>
    </w:p>
    <w:p w14:paraId="407D8A05" w14:textId="77777777" w:rsidR="00E8377A" w:rsidRPr="00122DFE" w:rsidRDefault="00E8377A" w:rsidP="00122DFE">
      <w:pPr>
        <w:spacing w:before="100" w:beforeAutospacing="1" w:after="100" w:afterAutospacing="1" w:line="160" w:lineRule="atLeast"/>
        <w:rPr>
          <w:rFonts w:ascii="Arial" w:eastAsia="Times New Roman" w:hAnsi="Arial" w:cs="Arial"/>
          <w:kern w:val="0"/>
          <w:sz w:val="24"/>
          <w:szCs w:val="24"/>
          <w:lang w:val="es-AR" w:eastAsia="es-AR"/>
          <w14:ligatures w14:val="none"/>
        </w:rPr>
      </w:pPr>
      <w:r w:rsidRPr="00122DFE">
        <w:rPr>
          <w:rFonts w:ascii="Arial" w:eastAsia="Times New Roman" w:hAnsi="Arial" w:cs="Arial"/>
          <w:kern w:val="0"/>
          <w:sz w:val="24"/>
          <w:szCs w:val="24"/>
          <w:lang w:val="es-AR" w:eastAsia="es-AR"/>
          <w14:ligatures w14:val="none"/>
        </w:rPr>
        <w:t>En caso afirmativo, indicar las conclusiones obtenidas y remitir la documentación respaldatoria correspondiente.</w:t>
      </w:r>
    </w:p>
    <w:p w14:paraId="2B24AF98" w14:textId="238CCFBE"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h)</w:t>
      </w:r>
      <w:r w:rsidRPr="00122DFE">
        <w:rPr>
          <w:rFonts w:ascii="Arial" w:eastAsia="Times New Roman" w:hAnsi="Arial" w:cs="Arial"/>
          <w:kern w:val="0"/>
          <w:sz w:val="24"/>
          <w:szCs w:val="24"/>
          <w:lang w:val="es-AR" w:eastAsia="es-AR"/>
          <w14:ligatures w14:val="none"/>
        </w:rPr>
        <w:t xml:space="preserve"> Informar la cantidad total de personas asistidas mediante programas de asistencia alimentaria municipal durante el primer semestre de los años </w:t>
      </w:r>
      <w:r w:rsidRPr="00122DFE">
        <w:rPr>
          <w:rFonts w:ascii="Arial" w:eastAsia="Times New Roman" w:hAnsi="Arial" w:cs="Arial"/>
          <w:b/>
          <w:bCs/>
          <w:kern w:val="0"/>
          <w:sz w:val="24"/>
          <w:szCs w:val="24"/>
          <w:lang w:val="es-AR" w:eastAsia="es-AR"/>
          <w14:ligatures w14:val="none"/>
        </w:rPr>
        <w:t>2025 y 2026</w:t>
      </w:r>
      <w:r w:rsidRPr="00122DFE">
        <w:rPr>
          <w:rFonts w:ascii="Arial" w:eastAsia="Times New Roman" w:hAnsi="Arial" w:cs="Arial"/>
          <w:kern w:val="0"/>
          <w:sz w:val="24"/>
          <w:szCs w:val="24"/>
          <w:lang w:val="es-AR" w:eastAsia="es-AR"/>
          <w14:ligatures w14:val="none"/>
        </w:rPr>
        <w:t>, discriminada por programa, modalidad de asistencia y período, a efectos de poder verificar y dimensionar el incremento de la demanda informado públicamente.</w:t>
      </w:r>
    </w:p>
    <w:p w14:paraId="39712286" w14:textId="68A4B924"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i)</w:t>
      </w:r>
      <w:r w:rsidRPr="00122DFE">
        <w:rPr>
          <w:rFonts w:ascii="Arial" w:eastAsia="Times New Roman" w:hAnsi="Arial" w:cs="Arial"/>
          <w:kern w:val="0"/>
          <w:sz w:val="24"/>
          <w:szCs w:val="24"/>
          <w:lang w:val="es-AR" w:eastAsia="es-AR"/>
          <w14:ligatures w14:val="none"/>
        </w:rPr>
        <w:t xml:space="preserve"> Informar el monto total ejecutado durante el primer semestre de 2026 en concepto de asistencia alimentaria, discriminado por programa, modalidad de asistencia y fuente de financiamiento.</w:t>
      </w:r>
    </w:p>
    <w:p w14:paraId="44465362" w14:textId="7361CADE"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j)</w:t>
      </w:r>
      <w:r w:rsidRPr="00122DFE">
        <w:rPr>
          <w:rFonts w:ascii="Arial" w:eastAsia="Times New Roman" w:hAnsi="Arial" w:cs="Arial"/>
          <w:kern w:val="0"/>
          <w:sz w:val="24"/>
          <w:szCs w:val="24"/>
          <w:lang w:val="es-AR" w:eastAsia="es-AR"/>
          <w14:ligatures w14:val="none"/>
        </w:rPr>
        <w:t xml:space="preserve"> Informar qué criterios, parámetros y procedimientos utiliza el Departamento Ejecutivo para determinar el acceso al Complemento Alimentario Municipal y demás mecanismos de asistencia alimentaria, indicando específicamente si entre los criterios de evaluación se contempla la condición de trabajador municipal y el nivel de ingresos del grupo familiar.</w:t>
      </w:r>
    </w:p>
    <w:p w14:paraId="7EAAA871"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ARTÍCULO 2º.-</w:t>
      </w:r>
      <w:r w:rsidRPr="00122DFE">
        <w:rPr>
          <w:rFonts w:ascii="Arial" w:eastAsia="Times New Roman" w:hAnsi="Arial" w:cs="Arial"/>
          <w:kern w:val="0"/>
          <w:sz w:val="24"/>
          <w:szCs w:val="24"/>
          <w:lang w:val="es-AR" w:eastAsia="es-AR"/>
          <w14:ligatures w14:val="none"/>
        </w:rPr>
        <w:t xml:space="preserve"> La información solicitada deberá ser remitida en forma </w:t>
      </w:r>
      <w:r w:rsidRPr="00122DFE">
        <w:rPr>
          <w:rFonts w:ascii="Arial" w:eastAsia="Times New Roman" w:hAnsi="Arial" w:cs="Arial"/>
          <w:b/>
          <w:bCs/>
          <w:kern w:val="0"/>
          <w:sz w:val="24"/>
          <w:szCs w:val="24"/>
          <w:lang w:val="es-AR" w:eastAsia="es-AR"/>
          <w14:ligatures w14:val="none"/>
        </w:rPr>
        <w:t>estadística y agregada</w:t>
      </w:r>
      <w:r w:rsidRPr="00122DFE">
        <w:rPr>
          <w:rFonts w:ascii="Arial" w:eastAsia="Times New Roman" w:hAnsi="Arial" w:cs="Arial"/>
          <w:kern w:val="0"/>
          <w:sz w:val="24"/>
          <w:szCs w:val="24"/>
          <w:lang w:val="es-AR" w:eastAsia="es-AR"/>
          <w14:ligatures w14:val="none"/>
        </w:rPr>
        <w:t>, sin consignar nombres, documentos, domicilios, legajos ni ningún otro dato que permita identificar individualmente a los trabajadores o beneficiarios, en resguardo de su intimidad y de la normativa vigente en materia de protección de datos personales.</w:t>
      </w:r>
    </w:p>
    <w:p w14:paraId="740CFB99"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ARTÍCULO 3º.-</w:t>
      </w:r>
      <w:r w:rsidRPr="00122DFE">
        <w:rPr>
          <w:rFonts w:ascii="Arial" w:eastAsia="Times New Roman" w:hAnsi="Arial" w:cs="Arial"/>
          <w:kern w:val="0"/>
          <w:sz w:val="24"/>
          <w:szCs w:val="24"/>
          <w:lang w:val="es-AR" w:eastAsia="es-AR"/>
          <w14:ligatures w14:val="none"/>
        </w:rPr>
        <w:t xml:space="preserve"> Para la comparación de las remuneraciones municipales con la Canasta Básica Alimentaria y la Canasta Básica Total, el Departamento Ejecutivo deberá utilizar los valores correspondientes al mismo período informado por el INDEC, indicando expresamente el período y fuente utilizados.</w:t>
      </w:r>
    </w:p>
    <w:p w14:paraId="311D02DC" w14:textId="77777777" w:rsidR="00E8377A" w:rsidRPr="00122DFE" w:rsidRDefault="00E8377A" w:rsidP="00122DFE">
      <w:pPr>
        <w:spacing w:before="100" w:beforeAutospacing="1" w:after="100" w:afterAutospacing="1" w:line="160" w:lineRule="atLeast"/>
        <w:jc w:val="both"/>
        <w:rPr>
          <w:rFonts w:ascii="Arial" w:eastAsia="Times New Roman" w:hAnsi="Arial" w:cs="Arial"/>
          <w:kern w:val="0"/>
          <w:sz w:val="24"/>
          <w:szCs w:val="24"/>
          <w:lang w:val="es-AR" w:eastAsia="es-AR"/>
          <w14:ligatures w14:val="none"/>
        </w:rPr>
      </w:pPr>
      <w:r w:rsidRPr="00122DFE">
        <w:rPr>
          <w:rFonts w:ascii="Arial" w:eastAsia="Times New Roman" w:hAnsi="Arial" w:cs="Arial"/>
          <w:b/>
          <w:bCs/>
          <w:kern w:val="0"/>
          <w:sz w:val="24"/>
          <w:szCs w:val="24"/>
          <w:lang w:val="es-AR" w:eastAsia="es-AR"/>
          <w14:ligatures w14:val="none"/>
        </w:rPr>
        <w:t>ARTÍCULO 4º.-</w:t>
      </w:r>
      <w:r w:rsidRPr="00122DFE">
        <w:rPr>
          <w:rFonts w:ascii="Arial" w:eastAsia="Times New Roman" w:hAnsi="Arial" w:cs="Arial"/>
          <w:kern w:val="0"/>
          <w:sz w:val="24"/>
          <w:szCs w:val="24"/>
          <w:lang w:val="es-AR" w:eastAsia="es-AR"/>
          <w14:ligatures w14:val="none"/>
        </w:rPr>
        <w:t xml:space="preserve"> En caso de que alguno de los datos solicitados no se encuentre actualmente sistematizado, el Departamento Ejecutivo deberá informar expresamente dicha circunstancia, indicando qué área posee la información y, en caso de resultar posible, suministrarla con el mayor grado de desagregación disponible.</w:t>
      </w:r>
    </w:p>
    <w:p w14:paraId="3BD8E3F2" w14:textId="583BB081" w:rsidR="00840036" w:rsidRPr="00E8377A" w:rsidRDefault="00E8377A" w:rsidP="00122DFE">
      <w:pPr>
        <w:spacing w:before="100" w:beforeAutospacing="1" w:after="100" w:afterAutospacing="1" w:line="160" w:lineRule="atLeast"/>
        <w:jc w:val="both"/>
      </w:pPr>
      <w:r w:rsidRPr="00122DFE">
        <w:rPr>
          <w:rFonts w:ascii="Arial" w:eastAsia="Times New Roman" w:hAnsi="Arial" w:cs="Arial"/>
          <w:b/>
          <w:bCs/>
          <w:kern w:val="0"/>
          <w:sz w:val="24"/>
          <w:szCs w:val="24"/>
          <w:lang w:val="es-AR" w:eastAsia="es-AR"/>
          <w14:ligatures w14:val="none"/>
        </w:rPr>
        <w:t>ARTÍCULO 5º.-</w:t>
      </w:r>
      <w:r w:rsidRPr="00122DFE">
        <w:rPr>
          <w:rFonts w:ascii="Arial" w:eastAsia="Times New Roman" w:hAnsi="Arial" w:cs="Arial"/>
          <w:kern w:val="0"/>
          <w:sz w:val="24"/>
          <w:szCs w:val="24"/>
          <w:lang w:val="es-AR" w:eastAsia="es-AR"/>
          <w14:ligatures w14:val="none"/>
        </w:rPr>
        <w:t xml:space="preserve"> De forma.</w:t>
      </w:r>
    </w:p>
    <w:sectPr w:rsidR="00840036" w:rsidRPr="00E8377A">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F96FD" w14:textId="77777777" w:rsidR="002D2F0B" w:rsidRDefault="002D2F0B" w:rsidP="00122DFE">
      <w:pPr>
        <w:spacing w:after="0" w:line="240" w:lineRule="auto"/>
      </w:pPr>
      <w:r>
        <w:separator/>
      </w:r>
    </w:p>
  </w:endnote>
  <w:endnote w:type="continuationSeparator" w:id="0">
    <w:p w14:paraId="42B9728E" w14:textId="77777777" w:rsidR="002D2F0B" w:rsidRDefault="002D2F0B" w:rsidP="00122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A3FF9D" w14:textId="77777777" w:rsidR="002D2F0B" w:rsidRDefault="002D2F0B" w:rsidP="00122DFE">
      <w:pPr>
        <w:spacing w:after="0" w:line="240" w:lineRule="auto"/>
      </w:pPr>
      <w:r>
        <w:separator/>
      </w:r>
    </w:p>
  </w:footnote>
  <w:footnote w:type="continuationSeparator" w:id="0">
    <w:p w14:paraId="15A769AF" w14:textId="77777777" w:rsidR="002D2F0B" w:rsidRDefault="002D2F0B" w:rsidP="00122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1F7C03" w14:textId="77777777" w:rsidR="00122DFE" w:rsidRDefault="00122DFE" w:rsidP="00122DFE">
    <w:pPr>
      <w:jc w:val="center"/>
      <w:rPr>
        <w:color w:val="000000"/>
      </w:rPr>
    </w:pPr>
    <w:r>
      <w:rPr>
        <w:noProof/>
        <w:color w:val="000000"/>
      </w:rPr>
      <w:drawing>
        <wp:inline distT="0" distB="0" distL="0" distR="0" wp14:anchorId="70E3FCAF" wp14:editId="7561B357">
          <wp:extent cx="693420" cy="602615"/>
          <wp:effectExtent l="0" t="0" r="0" b="0"/>
          <wp:docPr id="1" name="image1.jpg" descr="Escudo Chascomús"/>
          <wp:cNvGraphicFramePr/>
          <a:graphic xmlns:a="http://schemas.openxmlformats.org/drawingml/2006/main">
            <a:graphicData uri="http://schemas.openxmlformats.org/drawingml/2006/picture">
              <pic:pic xmlns:pic="http://schemas.openxmlformats.org/drawingml/2006/picture">
                <pic:nvPicPr>
                  <pic:cNvPr id="0" name="image1.jpg" descr="Escudo Chascomús"/>
                  <pic:cNvPicPr preferRelativeResize="0"/>
                </pic:nvPicPr>
                <pic:blipFill>
                  <a:blip r:embed="rId1"/>
                  <a:srcRect/>
                  <a:stretch>
                    <a:fillRect/>
                  </a:stretch>
                </pic:blipFill>
                <pic:spPr>
                  <a:xfrm>
                    <a:off x="0" y="0"/>
                    <a:ext cx="693420" cy="602615"/>
                  </a:xfrm>
                  <a:prstGeom prst="rect">
                    <a:avLst/>
                  </a:prstGeom>
                  <a:ln/>
                </pic:spPr>
              </pic:pic>
            </a:graphicData>
          </a:graphic>
        </wp:inline>
      </w:drawing>
    </w:r>
  </w:p>
  <w:p w14:paraId="0DE57541" w14:textId="77777777" w:rsidR="00122DFE" w:rsidRPr="00A33D3B" w:rsidRDefault="00122DFE" w:rsidP="00122DFE">
    <w:pPr>
      <w:keepNext/>
      <w:jc w:val="center"/>
      <w:rPr>
        <w:rFonts w:ascii="Garamond" w:eastAsia="Garamond" w:hAnsi="Garamond" w:cs="Garamond"/>
        <w:b/>
        <w:color w:val="000000"/>
      </w:rPr>
    </w:pPr>
    <w:r w:rsidRPr="00A33D3B">
      <w:rPr>
        <w:rFonts w:ascii="Garamond" w:eastAsia="Garamond" w:hAnsi="Garamond" w:cs="Garamond"/>
        <w:b/>
        <w:color w:val="000000"/>
      </w:rPr>
      <w:t>Honorable Concejo Deliberante</w:t>
    </w:r>
  </w:p>
  <w:p w14:paraId="36D00353" w14:textId="77777777" w:rsidR="00122DFE" w:rsidRPr="00A33D3B" w:rsidRDefault="00122DFE" w:rsidP="00122DFE">
    <w:pPr>
      <w:keepNext/>
      <w:jc w:val="center"/>
      <w:rPr>
        <w:rFonts w:ascii="Garamond" w:eastAsia="Garamond" w:hAnsi="Garamond" w:cs="Garamond"/>
        <w:b/>
        <w:color w:val="000000"/>
      </w:rPr>
    </w:pPr>
    <w:r w:rsidRPr="00A33D3B">
      <w:rPr>
        <w:rFonts w:ascii="Garamond" w:eastAsia="Garamond" w:hAnsi="Garamond" w:cs="Garamond"/>
        <w:b/>
        <w:color w:val="000000"/>
      </w:rPr>
      <w:t>Mitre 38    -    Chascomús</w:t>
    </w:r>
  </w:p>
  <w:p w14:paraId="651C5048" w14:textId="77777777" w:rsidR="00122DFE" w:rsidRPr="00A33D3B" w:rsidRDefault="00122DFE" w:rsidP="00122DFE">
    <w:pPr>
      <w:jc w:val="center"/>
      <w:rPr>
        <w:rFonts w:ascii="Arial Black" w:eastAsia="Arial Black" w:hAnsi="Arial Black" w:cs="Arial Black"/>
      </w:rPr>
    </w:pPr>
    <w:r w:rsidRPr="00A33D3B">
      <w:rPr>
        <w:rFonts w:ascii="Arial Black" w:eastAsia="Arial Black" w:hAnsi="Arial Black" w:cs="Arial Black"/>
      </w:rPr>
      <w:t>BLOQUE UCR</w:t>
    </w:r>
  </w:p>
  <w:p w14:paraId="0A40BECA" w14:textId="77777777" w:rsidR="00122DFE" w:rsidRPr="00685275" w:rsidRDefault="00122DFE" w:rsidP="00122DFE">
    <w:pPr>
      <w:jc w:val="center"/>
      <w:rPr>
        <w:b/>
        <w:bCs/>
        <w:color w:val="000000"/>
      </w:rPr>
    </w:pPr>
    <w:r w:rsidRPr="00685275">
      <w:rPr>
        <w:b/>
        <w:bCs/>
        <w:color w:val="000000"/>
      </w:rPr>
      <w:t>“2026:</w:t>
    </w:r>
    <w:r w:rsidRPr="00A33D3B">
      <w:rPr>
        <w:b/>
        <w:bCs/>
        <w:color w:val="000000"/>
      </w:rPr>
      <w:t xml:space="preserve"> Año del </w:t>
    </w:r>
    <w:r>
      <w:rPr>
        <w:b/>
        <w:bCs/>
        <w:color w:val="000000"/>
      </w:rPr>
      <w:t>200</w:t>
    </w:r>
    <w:r w:rsidRPr="00A33D3B">
      <w:rPr>
        <w:b/>
        <w:bCs/>
        <w:color w:val="000000"/>
      </w:rPr>
      <w:t>° Aniversario de</w:t>
    </w:r>
    <w:r>
      <w:rPr>
        <w:b/>
        <w:bCs/>
        <w:color w:val="000000"/>
      </w:rPr>
      <w:t xml:space="preserve"> la Escuela Primaria N°</w:t>
    </w:r>
    <w:r w:rsidRPr="00685275">
      <w:rPr>
        <w:b/>
        <w:bCs/>
        <w:color w:val="000000"/>
      </w:rPr>
      <w:t>1</w:t>
    </w:r>
    <w:r>
      <w:rPr>
        <w:b/>
        <w:bCs/>
        <w:color w:val="000000"/>
      </w:rPr>
      <w:t xml:space="preserve"> </w:t>
    </w:r>
    <w:r w:rsidRPr="00685275">
      <w:rPr>
        <w:b/>
        <w:bCs/>
        <w:color w:val="000000"/>
      </w:rPr>
      <w:t>“Bernardino</w:t>
    </w:r>
    <w:r>
      <w:rPr>
        <w:b/>
        <w:bCs/>
        <w:color w:val="000000"/>
      </w:rPr>
      <w:t xml:space="preserve"> Rivadavia</w:t>
    </w:r>
    <w:r w:rsidRPr="00685275">
      <w:rPr>
        <w:b/>
        <w:bCs/>
        <w:color w:val="000000"/>
      </w:rPr>
      <w:t>”</w:t>
    </w:r>
  </w:p>
  <w:p w14:paraId="66DC00AA" w14:textId="77777777" w:rsidR="00122DFE" w:rsidRDefault="00122DF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934029"/>
    <w:multiLevelType w:val="multilevel"/>
    <w:tmpl w:val="41F255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88940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E8"/>
    <w:rsid w:val="00043CE8"/>
    <w:rsid w:val="00122DFE"/>
    <w:rsid w:val="002D2F0B"/>
    <w:rsid w:val="004D02BB"/>
    <w:rsid w:val="00516EAF"/>
    <w:rsid w:val="005F654F"/>
    <w:rsid w:val="00703C6A"/>
    <w:rsid w:val="00840036"/>
    <w:rsid w:val="00A26C79"/>
    <w:rsid w:val="00C03976"/>
    <w:rsid w:val="00C44693"/>
    <w:rsid w:val="00E8377A"/>
    <w:rsid w:val="00F3706A"/>
    <w:rsid w:val="00FC5A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3FF98"/>
  <w15:chartTrackingRefBased/>
  <w15:docId w15:val="{108821F4-1D98-4A88-B9A1-6FA8A5FC4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3CE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3CE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3CE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3CE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3CE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3CE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3CE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3CE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3CE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3CE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3CE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3CE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3CE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3CE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3CE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3CE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3CE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3CE8"/>
    <w:rPr>
      <w:rFonts w:eastAsiaTheme="majorEastAsia" w:cstheme="majorBidi"/>
      <w:color w:val="272727" w:themeColor="text1" w:themeTint="D8"/>
    </w:rPr>
  </w:style>
  <w:style w:type="paragraph" w:styleId="Ttulo">
    <w:name w:val="Title"/>
    <w:basedOn w:val="Normal"/>
    <w:next w:val="Normal"/>
    <w:link w:val="TtuloCar"/>
    <w:uiPriority w:val="10"/>
    <w:qFormat/>
    <w:rsid w:val="00043C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3CE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3CE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3CE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3CE8"/>
    <w:pPr>
      <w:spacing w:before="160"/>
      <w:jc w:val="center"/>
    </w:pPr>
    <w:rPr>
      <w:i/>
      <w:iCs/>
      <w:color w:val="404040" w:themeColor="text1" w:themeTint="BF"/>
    </w:rPr>
  </w:style>
  <w:style w:type="character" w:customStyle="1" w:styleId="CitaCar">
    <w:name w:val="Cita Car"/>
    <w:basedOn w:val="Fuentedeprrafopredeter"/>
    <w:link w:val="Cita"/>
    <w:uiPriority w:val="29"/>
    <w:rsid w:val="00043CE8"/>
    <w:rPr>
      <w:i/>
      <w:iCs/>
      <w:color w:val="404040" w:themeColor="text1" w:themeTint="BF"/>
    </w:rPr>
  </w:style>
  <w:style w:type="paragraph" w:styleId="Prrafodelista">
    <w:name w:val="List Paragraph"/>
    <w:basedOn w:val="Normal"/>
    <w:uiPriority w:val="34"/>
    <w:qFormat/>
    <w:rsid w:val="00043CE8"/>
    <w:pPr>
      <w:ind w:left="720"/>
      <w:contextualSpacing/>
    </w:pPr>
  </w:style>
  <w:style w:type="character" w:styleId="nfasisintenso">
    <w:name w:val="Intense Emphasis"/>
    <w:basedOn w:val="Fuentedeprrafopredeter"/>
    <w:uiPriority w:val="21"/>
    <w:qFormat/>
    <w:rsid w:val="00043CE8"/>
    <w:rPr>
      <w:i/>
      <w:iCs/>
      <w:color w:val="0F4761" w:themeColor="accent1" w:themeShade="BF"/>
    </w:rPr>
  </w:style>
  <w:style w:type="paragraph" w:styleId="Citadestacada">
    <w:name w:val="Intense Quote"/>
    <w:basedOn w:val="Normal"/>
    <w:next w:val="Normal"/>
    <w:link w:val="CitadestacadaCar"/>
    <w:uiPriority w:val="30"/>
    <w:qFormat/>
    <w:rsid w:val="00043CE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3CE8"/>
    <w:rPr>
      <w:i/>
      <w:iCs/>
      <w:color w:val="0F4761" w:themeColor="accent1" w:themeShade="BF"/>
    </w:rPr>
  </w:style>
  <w:style w:type="character" w:styleId="Referenciaintensa">
    <w:name w:val="Intense Reference"/>
    <w:basedOn w:val="Fuentedeprrafopredeter"/>
    <w:uiPriority w:val="32"/>
    <w:qFormat/>
    <w:rsid w:val="00043CE8"/>
    <w:rPr>
      <w:b/>
      <w:bCs/>
      <w:smallCaps/>
      <w:color w:val="0F4761" w:themeColor="accent1" w:themeShade="BF"/>
      <w:spacing w:val="5"/>
    </w:rPr>
  </w:style>
  <w:style w:type="paragraph" w:styleId="Encabezado">
    <w:name w:val="header"/>
    <w:basedOn w:val="Normal"/>
    <w:link w:val="EncabezadoCar"/>
    <w:uiPriority w:val="99"/>
    <w:unhideWhenUsed/>
    <w:rsid w:val="00122DF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22DFE"/>
  </w:style>
  <w:style w:type="paragraph" w:styleId="Piedepgina">
    <w:name w:val="footer"/>
    <w:basedOn w:val="Normal"/>
    <w:link w:val="PiedepginaCar"/>
    <w:uiPriority w:val="99"/>
    <w:unhideWhenUsed/>
    <w:rsid w:val="00122DF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22D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1510</Words>
  <Characters>8308</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Di Benedetto</dc:creator>
  <cp:keywords/>
  <dc:description/>
  <cp:lastModifiedBy>Eduardo Di Benedetto</cp:lastModifiedBy>
  <cp:revision>2</cp:revision>
  <cp:lastPrinted>2026-08-10T12:19:00Z</cp:lastPrinted>
  <dcterms:created xsi:type="dcterms:W3CDTF">2026-08-11T11:40:00Z</dcterms:created>
  <dcterms:modified xsi:type="dcterms:W3CDTF">2026-08-11T11:40:00Z</dcterms:modified>
</cp:coreProperties>
</file>