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5FB2" w:rsidRDefault="00BF4945" w:rsidP="0070605C">
      <w:pPr>
        <w:spacing w:after="240" w:line="360" w:lineRule="auto"/>
        <w:jc w:val="right"/>
      </w:pPr>
      <w:r>
        <w:t>Chascomús, 11 de agosto de 2026.</w:t>
      </w:r>
    </w:p>
    <w:p w:rsidR="00C35FB2" w:rsidRDefault="00BF4945" w:rsidP="0070605C">
      <w:pPr>
        <w:spacing w:line="360" w:lineRule="auto"/>
      </w:pPr>
      <w:r>
        <w:rPr>
          <w:b/>
          <w:bCs/>
        </w:rPr>
        <w:t>Sra. Presidente del</w:t>
      </w:r>
    </w:p>
    <w:p w:rsidR="00C35FB2" w:rsidRDefault="00BF4945" w:rsidP="0070605C">
      <w:pPr>
        <w:spacing w:line="360" w:lineRule="auto"/>
      </w:pPr>
      <w:r>
        <w:rPr>
          <w:b/>
          <w:bCs/>
        </w:rPr>
        <w:t>Honorable Concejo Deliberante</w:t>
      </w:r>
    </w:p>
    <w:p w:rsidR="00C35FB2" w:rsidRDefault="00BF4945" w:rsidP="0070605C">
      <w:pPr>
        <w:spacing w:line="360" w:lineRule="auto"/>
      </w:pPr>
      <w:r>
        <w:rPr>
          <w:b/>
          <w:bCs/>
        </w:rPr>
        <w:t>OSCAR FREDDY TOLEDO BARZOLA</w:t>
      </w:r>
    </w:p>
    <w:p w:rsidR="00C35FB2" w:rsidRDefault="00BF4945" w:rsidP="0070605C">
      <w:pPr>
        <w:spacing w:after="240" w:line="360" w:lineRule="auto"/>
      </w:pPr>
      <w:r>
        <w:rPr>
          <w:b/>
          <w:bCs/>
        </w:rPr>
        <w:t>S          /          D</w:t>
      </w:r>
      <w:r w:rsidR="0070605C">
        <w:rPr>
          <w:b/>
          <w:bCs/>
        </w:rPr>
        <w:t>:</w:t>
      </w:r>
    </w:p>
    <w:p w:rsidR="00C35FB2" w:rsidRDefault="00BF4945" w:rsidP="0070605C">
      <w:pPr>
        <w:spacing w:after="120" w:line="360" w:lineRule="auto"/>
      </w:pPr>
      <w:r>
        <w:t>De nuestra consideración:</w:t>
      </w:r>
    </w:p>
    <w:p w:rsidR="00C35FB2" w:rsidRDefault="00BF4945" w:rsidP="0070605C">
      <w:pPr>
        <w:spacing w:after="300" w:line="360" w:lineRule="auto"/>
        <w:ind w:firstLine="1400"/>
        <w:jc w:val="both"/>
      </w:pPr>
      <w:r>
        <w:t>Remitimos copia del presente proyecto para ser incluida en el orden del día de la próxima sesión.</w:t>
      </w:r>
    </w:p>
    <w:p w:rsidR="00C35FB2" w:rsidRPr="0070605C" w:rsidRDefault="00BF4945" w:rsidP="0070605C">
      <w:pPr>
        <w:spacing w:after="300" w:line="360" w:lineRule="auto"/>
        <w:jc w:val="center"/>
        <w:rPr>
          <w:u w:val="single"/>
        </w:rPr>
      </w:pPr>
      <w:r w:rsidRPr="0070605C">
        <w:rPr>
          <w:b/>
          <w:bCs/>
          <w:u w:val="single"/>
        </w:rPr>
        <w:t>INSISTE Y AMPLÍA PEDIDO DE INFORMES A LA SECRETARÍA DE SEGURIDAD CIUDADANA ANTE LA RESPUESTA INSUFICIENTE A LAS COMUNICACIONES N.º 4141/C Y N.º 4158/C.-</w:t>
      </w:r>
    </w:p>
    <w:p w:rsidR="00C35FB2" w:rsidRDefault="00BF4945" w:rsidP="0070605C">
      <w:pPr>
        <w:spacing w:after="120" w:line="360" w:lineRule="auto"/>
        <w:jc w:val="both"/>
      </w:pPr>
      <w:r>
        <w:rPr>
          <w:b/>
          <w:bCs/>
        </w:rPr>
        <w:t>VISTO:</w:t>
      </w:r>
    </w:p>
    <w:p w:rsidR="00C35FB2" w:rsidRDefault="00BF4945" w:rsidP="0070605C">
      <w:pPr>
        <w:spacing w:after="240" w:line="360" w:lineRule="auto"/>
        <w:jc w:val="both"/>
      </w:pPr>
      <w:r>
        <w:t>Las respuestas brindadas por la Secretaría de Seguridad Ciudadana a las Comunicaciones N.º 4141/C y N.º 4158/C; las disposiciones de la Ley Orgánica de las Municipalidades, Decreto-Ley N.º 6769/58; las Leyes Provinciales N.º 12.154, N.º 13.210 y N.º 13.482; el Estado de Ejecución del Presupuesto de Gastos correspondiente al período comprendido entre el 1.º de enero y el 30 de junio de 2026; y</w:t>
      </w:r>
    </w:p>
    <w:p w:rsidR="00C35FB2" w:rsidRDefault="00BF4945" w:rsidP="0070605C">
      <w:pPr>
        <w:spacing w:after="120" w:line="360" w:lineRule="auto"/>
        <w:jc w:val="both"/>
      </w:pPr>
      <w:r>
        <w:rPr>
          <w:b/>
          <w:bCs/>
        </w:rPr>
        <w:t>CONSIDERANDO:</w:t>
      </w:r>
    </w:p>
    <w:p w:rsidR="00C35FB2" w:rsidRDefault="00BF4945" w:rsidP="0070605C">
      <w:pPr>
        <w:spacing w:after="140" w:line="360" w:lineRule="auto"/>
        <w:jc w:val="both"/>
      </w:pPr>
      <w:r>
        <w:t>Que la Comunicación constituye, en los términos del artículo 77 de la Ley Orgánica de las Municipalidades, el instrumento por el cual este Cuerpo pide o expone algo al Departamento Ejecutivo, y que el deber correlativo de suministrar la información encuentra su fundamento en el artículo 108 inciso 7.º del mismo cuerpo legal, que califica expresamente como falta grave la negativa a suministrarla;</w:t>
      </w:r>
    </w:p>
    <w:p w:rsidR="00C35FB2" w:rsidRDefault="00BF4945" w:rsidP="0070605C">
      <w:pPr>
        <w:spacing w:after="140" w:line="360" w:lineRule="auto"/>
        <w:jc w:val="both"/>
      </w:pPr>
      <w:r>
        <w:t xml:space="preserve">Que, respecto de la Comunicación N.º 4141/C, ninguno de sus ocho (8) puntos fue contestado de manera completa y documentada: los puntos 1, 3 y 5 recibieron respuestas </w:t>
      </w:r>
      <w:r>
        <w:lastRenderedPageBreak/>
        <w:t>parciales y meramente enunciativas —sin cuantificar un solo programa, sin mencionar una sola vez a la Policía Comunal de Chascomús pese a ser el objeto puntual del punto 3, y sin acompañar los planes invocados—, mientras que los puntos 2, 4, 6, 7 y 8 no fueron respondidos;</w:t>
      </w:r>
    </w:p>
    <w:p w:rsidR="00C35FB2" w:rsidRDefault="00BF4945" w:rsidP="0070605C">
      <w:pPr>
        <w:spacing w:after="140" w:line="360" w:lineRule="auto"/>
        <w:jc w:val="both"/>
      </w:pPr>
      <w:r>
        <w:t>Que, respecto de la Comunicación N.º 4158/C, no se aportaron datos, cifras y/o documentos sobre ninguno de sus veinticuatro (24) puntos, remitiéndose la respuesta a reuniones del Foro de Seguridad Municipal, a informes mensuales que no fueron acompañados, a la disponibilidad genérica de información en el RAFAM y a una invocación de reserva carente de todo fundamento normativo, omitiéndose incluso mencionar el punto 15;</w:t>
      </w:r>
    </w:p>
    <w:p w:rsidR="00C35FB2" w:rsidRDefault="00BF4945" w:rsidP="0070605C">
      <w:pPr>
        <w:spacing w:after="140" w:line="360" w:lineRule="auto"/>
        <w:jc w:val="both"/>
      </w:pPr>
      <w:r>
        <w:t>Que ambas respuestas, suscriptas por la misma funcionaria con veintitrés (23) días de diferencia, incurren en contradicciones recíprocas, a saber:</w:t>
      </w:r>
    </w:p>
    <w:p w:rsidR="00C35FB2" w:rsidRDefault="00BF4945" w:rsidP="0070605C">
      <w:pPr>
        <w:spacing w:after="120" w:line="360" w:lineRule="auto"/>
        <w:ind w:left="340"/>
        <w:jc w:val="both"/>
      </w:pPr>
      <w:r>
        <w:t>a) En la respuesta a la Comunicación N.º 4141/C se sostiene que la información sobre hechos delictivos se centraliza en el nivel provincial, mientras que en la respuesta a la Comunicación N.º 4158/C se afirma que la cantidad de eventos ingresados, iniciados o seguidos consta en informes mensuales que la Secretaría elabora y entrega; el Municipio produce, entonces, datos propios de eventos que no fueron aportados;</w:t>
      </w:r>
    </w:p>
    <w:p w:rsidR="00C35FB2" w:rsidRDefault="00BF4945" w:rsidP="0070605C">
      <w:pPr>
        <w:spacing w:after="120" w:line="360" w:lineRule="auto"/>
        <w:ind w:left="340"/>
        <w:jc w:val="both"/>
      </w:pPr>
      <w:r>
        <w:t>b) En la respuesta a la Comunicación N.º 4141/C se afirma que el Centro de Monitoreo articula permanentemente con el Poder Judicial, a quien provee material de prueba fundamental para el proceso penal y, sin embargo, el Eje V de la Comunicación N.º 4158/C —que requería el registro de esos requerimientos, cuántos fueron satisfechos y cuántos no— quedó sin responder; si el sistema provee prueba de manera permanente, existe registro de esa provisión y ese registro es informable;</w:t>
      </w:r>
    </w:p>
    <w:p w:rsidR="00C35FB2" w:rsidRDefault="00BF4945" w:rsidP="0070605C">
      <w:pPr>
        <w:spacing w:after="120" w:line="360" w:lineRule="auto"/>
        <w:ind w:left="340"/>
        <w:jc w:val="both"/>
      </w:pPr>
      <w:r>
        <w:t>c) En la respuesta a la Comunicación N.º 4141/C se califica de “extensa” la dotación de cámaras de videovigilancia, en tanto en la respuesta a la Comunicación N.º 4158/C se rehúsa informar cuántas son; se afirma la magnitud y se niega la cuantificación que la sustentaría;</w:t>
      </w:r>
    </w:p>
    <w:p w:rsidR="00C35FB2" w:rsidRDefault="00BF4945" w:rsidP="0070605C">
      <w:pPr>
        <w:spacing w:after="120" w:line="360" w:lineRule="auto"/>
        <w:ind w:left="340"/>
        <w:jc w:val="both"/>
      </w:pPr>
      <w:r>
        <w:lastRenderedPageBreak/>
        <w:t>d) En la respuesta a la Comunicación N.º 4141/C se describe el Plan de Seguridad Integral como un abordaje de la gestión “basada en la evidencia”, mientras que la respuesta a la Comunicación N.º 4158/C no aporta un solo dato;</w:t>
      </w:r>
    </w:p>
    <w:p w:rsidR="00C35FB2" w:rsidRDefault="00BF4945" w:rsidP="0070605C">
      <w:pPr>
        <w:spacing w:after="120" w:line="360" w:lineRule="auto"/>
        <w:ind w:left="340"/>
        <w:jc w:val="both"/>
      </w:pPr>
      <w:r>
        <w:t>e) La respuesta a la Comunicación N.º 4158/C sostiene que la información fue aportada y conversada en varias reuniones del Foro de Seguridad Municipal, contradiciendo el considerando de la Comunicación N.º 4141/C —no controvertido por el Departamento Ejecutivo al responderla— según el cual la Secretaría no había informado a los concejales a través de dicho Foro ni por otros medios institucionales;</w:t>
      </w:r>
    </w:p>
    <w:p w:rsidR="00C35FB2" w:rsidRDefault="00BF4945" w:rsidP="0070605C">
      <w:pPr>
        <w:spacing w:after="140" w:line="360" w:lineRule="auto"/>
        <w:jc w:val="both"/>
      </w:pPr>
      <w:r>
        <w:t>Que la respuesta a la Comunicación N.º 4158/C califica los puntos requeridos como “preguntas redundantes que no terminan en propuestas concretas y viables” e invoca que al personal del área “no le sobra demasiado tiempo” para elaborar informes;</w:t>
      </w:r>
    </w:p>
    <w:p w:rsidR="00C35FB2" w:rsidRDefault="00BF4945" w:rsidP="0070605C">
      <w:pPr>
        <w:spacing w:after="140" w:line="360" w:lineRule="auto"/>
        <w:jc w:val="both"/>
      </w:pPr>
      <w:r>
        <w:t>Que este Cuerpo entiende necesario señalar, con el respeto institucional que merece toda funcionaria, que el requerimiento de informes no constituye una molestia ni una interferencia en la gestión, sino el ejercicio regular de la función de contralor que el ordenamiento asigna al Departamento Deliberativo sobre la administración municipal;</w:t>
      </w:r>
    </w:p>
    <w:p w:rsidR="00C35FB2" w:rsidRDefault="00BF4945" w:rsidP="0070605C">
      <w:pPr>
        <w:spacing w:after="140" w:line="360" w:lineRule="auto"/>
        <w:jc w:val="both"/>
      </w:pPr>
      <w:r>
        <w:t>Que la elaboración de informes con destino a este Cuerpo integra las obligaciones propias de un cargo político de conducción y no constituye una tarea accesoria de la que quepa excusarse por razones de agenda o de carga de trabajo;</w:t>
      </w:r>
    </w:p>
    <w:p w:rsidR="00C35FB2" w:rsidRDefault="00BF4945" w:rsidP="0070605C">
      <w:pPr>
        <w:spacing w:after="140" w:line="360" w:lineRule="auto"/>
        <w:jc w:val="both"/>
      </w:pPr>
      <w:r>
        <w:t>Que la magnitud de los recursos públicos puestos a disposición del área torna ineludible ese contralor;</w:t>
      </w:r>
    </w:p>
    <w:p w:rsidR="00C35FB2" w:rsidRDefault="00BF4945" w:rsidP="0070605C">
      <w:pPr>
        <w:spacing w:after="140" w:line="360" w:lineRule="auto"/>
        <w:jc w:val="both"/>
      </w:pPr>
      <w:r>
        <w:t xml:space="preserve">Que, conforme al Estado de Ejecución del Presupuesto de Gastos publicado por el propio Departamento Ejecutivo, la Jurisdicción 1110117000 —Secretaría de Seguridad Ciudadana— registra al 30 de junio de 2026 un crédito vigente de PESOS CUATRO MIL SETENTA MILLONES NOVECIENTOS VEINTICUATRO MIL QUINIENTOS CINCO CON 22/100 ($ 4.070.924.505,22) y un devengado de PESOS UN MIL NOVECIENTOS VEINTE MILLONES OCHOCIENTOS CINCUENTA Y CUATRO MIL NOVECIENTOS DIECIOCHO CON 29/100 ($ 1.920.854.918,29), equivalente a una ejecución del 47,18 % </w:t>
      </w:r>
      <w:r>
        <w:lastRenderedPageBreak/>
        <w:t>en el primer semestre, cifra que representa el 6,37 % de todo lo devengado por la Municipalidad de Chascomús en el período;</w:t>
      </w:r>
    </w:p>
    <w:p w:rsidR="00C35FB2" w:rsidRDefault="00BF4945" w:rsidP="0070605C">
      <w:pPr>
        <w:spacing w:after="140" w:line="360" w:lineRule="auto"/>
        <w:jc w:val="both"/>
      </w:pPr>
      <w:r>
        <w:t>Que dicha ejecución se distribuye entre las siguientes aperturas programáticas:</w:t>
      </w:r>
    </w:p>
    <w:tbl>
      <w:tblPr>
        <w:tblW w:w="87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00"/>
        <w:gridCol w:w="1900"/>
        <w:gridCol w:w="1900"/>
        <w:gridCol w:w="1387"/>
      </w:tblGrid>
      <w:tr w:rsidR="00C35FB2">
        <w:tc>
          <w:tcPr>
            <w:tcW w:w="3600" w:type="dxa"/>
            <w:shd w:val="clear" w:color="auto" w:fill="D9D9D9"/>
            <w:tcMar>
              <w:top w:w="60" w:type="dxa"/>
              <w:left w:w="100" w:type="dxa"/>
              <w:bottom w:w="60" w:type="dxa"/>
              <w:right w:w="100" w:type="dxa"/>
            </w:tcMar>
          </w:tcPr>
          <w:p w:rsidR="00C35FB2" w:rsidRDefault="00BF4945" w:rsidP="0070605C">
            <w:pPr>
              <w:spacing w:line="360" w:lineRule="auto"/>
            </w:pPr>
            <w:r>
              <w:rPr>
                <w:b/>
                <w:bCs/>
                <w:sz w:val="20"/>
                <w:szCs w:val="20"/>
              </w:rPr>
              <w:t>Programa</w:t>
            </w:r>
          </w:p>
        </w:tc>
        <w:tc>
          <w:tcPr>
            <w:tcW w:w="1900" w:type="dxa"/>
            <w:shd w:val="clear" w:color="auto" w:fill="D9D9D9"/>
            <w:tcMar>
              <w:top w:w="60" w:type="dxa"/>
              <w:left w:w="100" w:type="dxa"/>
              <w:bottom w:w="60" w:type="dxa"/>
              <w:right w:w="100" w:type="dxa"/>
            </w:tcMar>
          </w:tcPr>
          <w:p w:rsidR="00C35FB2" w:rsidRDefault="00BF4945" w:rsidP="0070605C">
            <w:pPr>
              <w:spacing w:line="360" w:lineRule="auto"/>
              <w:jc w:val="right"/>
            </w:pPr>
            <w:r>
              <w:rPr>
                <w:b/>
                <w:bCs/>
                <w:sz w:val="20"/>
                <w:szCs w:val="20"/>
              </w:rPr>
              <w:t>Crédito vigente</w:t>
            </w:r>
          </w:p>
        </w:tc>
        <w:tc>
          <w:tcPr>
            <w:tcW w:w="1900" w:type="dxa"/>
            <w:shd w:val="clear" w:color="auto" w:fill="D9D9D9"/>
            <w:tcMar>
              <w:top w:w="60" w:type="dxa"/>
              <w:left w:w="100" w:type="dxa"/>
              <w:bottom w:w="60" w:type="dxa"/>
              <w:right w:w="100" w:type="dxa"/>
            </w:tcMar>
          </w:tcPr>
          <w:p w:rsidR="00C35FB2" w:rsidRDefault="00BF4945" w:rsidP="0070605C">
            <w:pPr>
              <w:spacing w:line="360" w:lineRule="auto"/>
              <w:jc w:val="right"/>
            </w:pPr>
            <w:r>
              <w:rPr>
                <w:b/>
                <w:bCs/>
                <w:sz w:val="20"/>
                <w:szCs w:val="20"/>
              </w:rPr>
              <w:t>Devengado</w:t>
            </w:r>
          </w:p>
        </w:tc>
        <w:tc>
          <w:tcPr>
            <w:tcW w:w="1387" w:type="dxa"/>
            <w:shd w:val="clear" w:color="auto" w:fill="D9D9D9"/>
            <w:tcMar>
              <w:top w:w="60" w:type="dxa"/>
              <w:left w:w="100" w:type="dxa"/>
              <w:bottom w:w="60" w:type="dxa"/>
              <w:right w:w="100" w:type="dxa"/>
            </w:tcMar>
          </w:tcPr>
          <w:p w:rsidR="00C35FB2" w:rsidRDefault="00BF4945" w:rsidP="0070605C">
            <w:pPr>
              <w:spacing w:line="360" w:lineRule="auto"/>
              <w:jc w:val="right"/>
            </w:pPr>
            <w:r>
              <w:rPr>
                <w:b/>
                <w:bCs/>
                <w:sz w:val="20"/>
                <w:szCs w:val="20"/>
              </w:rPr>
              <w:t>% ejec.</w:t>
            </w:r>
          </w:p>
        </w:tc>
      </w:tr>
      <w:tr w:rsidR="00C35FB2">
        <w:tc>
          <w:tcPr>
            <w:tcW w:w="3600" w:type="dxa"/>
            <w:tcMar>
              <w:top w:w="60" w:type="dxa"/>
              <w:left w:w="100" w:type="dxa"/>
              <w:bottom w:w="60" w:type="dxa"/>
              <w:right w:w="100" w:type="dxa"/>
            </w:tcMar>
          </w:tcPr>
          <w:p w:rsidR="00C35FB2" w:rsidRDefault="00BF4945" w:rsidP="0070605C">
            <w:pPr>
              <w:spacing w:line="360" w:lineRule="auto"/>
            </w:pPr>
            <w:r>
              <w:rPr>
                <w:sz w:val="20"/>
                <w:szCs w:val="20"/>
              </w:rPr>
              <w:t>01.00.00 Administración Central</w:t>
            </w:r>
          </w:p>
        </w:tc>
        <w:tc>
          <w:tcPr>
            <w:tcW w:w="1900" w:type="dxa"/>
            <w:tcMar>
              <w:top w:w="60" w:type="dxa"/>
              <w:left w:w="100" w:type="dxa"/>
              <w:bottom w:w="60" w:type="dxa"/>
              <w:right w:w="100" w:type="dxa"/>
            </w:tcMar>
          </w:tcPr>
          <w:p w:rsidR="00C35FB2" w:rsidRDefault="00BF4945" w:rsidP="0070605C">
            <w:pPr>
              <w:spacing w:line="360" w:lineRule="auto"/>
              <w:jc w:val="right"/>
            </w:pPr>
            <w:r>
              <w:rPr>
                <w:sz w:val="20"/>
                <w:szCs w:val="20"/>
              </w:rPr>
              <w:t>335.729.718,34</w:t>
            </w:r>
          </w:p>
        </w:tc>
        <w:tc>
          <w:tcPr>
            <w:tcW w:w="1900" w:type="dxa"/>
            <w:tcMar>
              <w:top w:w="60" w:type="dxa"/>
              <w:left w:w="100" w:type="dxa"/>
              <w:bottom w:w="60" w:type="dxa"/>
              <w:right w:w="100" w:type="dxa"/>
            </w:tcMar>
          </w:tcPr>
          <w:p w:rsidR="00C35FB2" w:rsidRDefault="00BF4945" w:rsidP="0070605C">
            <w:pPr>
              <w:spacing w:line="360" w:lineRule="auto"/>
              <w:jc w:val="right"/>
            </w:pPr>
            <w:r>
              <w:rPr>
                <w:sz w:val="20"/>
                <w:szCs w:val="20"/>
              </w:rPr>
              <w:t>139.485.439,40</w:t>
            </w:r>
          </w:p>
        </w:tc>
        <w:tc>
          <w:tcPr>
            <w:tcW w:w="1387" w:type="dxa"/>
            <w:tcMar>
              <w:top w:w="60" w:type="dxa"/>
              <w:left w:w="100" w:type="dxa"/>
              <w:bottom w:w="60" w:type="dxa"/>
              <w:right w:w="100" w:type="dxa"/>
            </w:tcMar>
          </w:tcPr>
          <w:p w:rsidR="00C35FB2" w:rsidRDefault="00BF4945" w:rsidP="0070605C">
            <w:pPr>
              <w:spacing w:line="360" w:lineRule="auto"/>
              <w:jc w:val="right"/>
            </w:pPr>
            <w:r>
              <w:rPr>
                <w:sz w:val="20"/>
                <w:szCs w:val="20"/>
              </w:rPr>
              <w:t>41,55 %</w:t>
            </w:r>
          </w:p>
        </w:tc>
      </w:tr>
      <w:tr w:rsidR="00C35FB2">
        <w:tc>
          <w:tcPr>
            <w:tcW w:w="3600" w:type="dxa"/>
            <w:tcMar>
              <w:top w:w="60" w:type="dxa"/>
              <w:left w:w="100" w:type="dxa"/>
              <w:bottom w:w="60" w:type="dxa"/>
              <w:right w:w="100" w:type="dxa"/>
            </w:tcMar>
          </w:tcPr>
          <w:p w:rsidR="00C35FB2" w:rsidRDefault="00BF4945" w:rsidP="0070605C">
            <w:pPr>
              <w:spacing w:line="360" w:lineRule="auto"/>
            </w:pPr>
            <w:r>
              <w:rPr>
                <w:sz w:val="20"/>
                <w:szCs w:val="20"/>
              </w:rPr>
              <w:t>71.00.00 Prevención del Delito y las Violencias</w:t>
            </w:r>
          </w:p>
        </w:tc>
        <w:tc>
          <w:tcPr>
            <w:tcW w:w="1900" w:type="dxa"/>
            <w:tcMar>
              <w:top w:w="60" w:type="dxa"/>
              <w:left w:w="100" w:type="dxa"/>
              <w:bottom w:w="60" w:type="dxa"/>
              <w:right w:w="100" w:type="dxa"/>
            </w:tcMar>
          </w:tcPr>
          <w:p w:rsidR="00C35FB2" w:rsidRDefault="00BF4945" w:rsidP="0070605C">
            <w:pPr>
              <w:spacing w:line="360" w:lineRule="auto"/>
              <w:jc w:val="right"/>
            </w:pPr>
            <w:r>
              <w:rPr>
                <w:sz w:val="20"/>
                <w:szCs w:val="20"/>
              </w:rPr>
              <w:t>811.613.973,72</w:t>
            </w:r>
          </w:p>
        </w:tc>
        <w:tc>
          <w:tcPr>
            <w:tcW w:w="1900" w:type="dxa"/>
            <w:tcMar>
              <w:top w:w="60" w:type="dxa"/>
              <w:left w:w="100" w:type="dxa"/>
              <w:bottom w:w="60" w:type="dxa"/>
              <w:right w:w="100" w:type="dxa"/>
            </w:tcMar>
          </w:tcPr>
          <w:p w:rsidR="00C35FB2" w:rsidRDefault="00BF4945" w:rsidP="0070605C">
            <w:pPr>
              <w:spacing w:line="360" w:lineRule="auto"/>
              <w:jc w:val="right"/>
            </w:pPr>
            <w:r>
              <w:rPr>
                <w:sz w:val="20"/>
                <w:szCs w:val="20"/>
              </w:rPr>
              <w:t>377.517.140,56</w:t>
            </w:r>
          </w:p>
        </w:tc>
        <w:tc>
          <w:tcPr>
            <w:tcW w:w="1387" w:type="dxa"/>
            <w:tcMar>
              <w:top w:w="60" w:type="dxa"/>
              <w:left w:w="100" w:type="dxa"/>
              <w:bottom w:w="60" w:type="dxa"/>
              <w:right w:w="100" w:type="dxa"/>
            </w:tcMar>
          </w:tcPr>
          <w:p w:rsidR="00C35FB2" w:rsidRDefault="00BF4945" w:rsidP="0070605C">
            <w:pPr>
              <w:spacing w:line="360" w:lineRule="auto"/>
              <w:jc w:val="right"/>
            </w:pPr>
            <w:r>
              <w:rPr>
                <w:sz w:val="20"/>
                <w:szCs w:val="20"/>
              </w:rPr>
              <w:t>46,51 %</w:t>
            </w:r>
          </w:p>
        </w:tc>
      </w:tr>
      <w:tr w:rsidR="00C35FB2">
        <w:tc>
          <w:tcPr>
            <w:tcW w:w="3600" w:type="dxa"/>
            <w:tcMar>
              <w:top w:w="60" w:type="dxa"/>
              <w:left w:w="100" w:type="dxa"/>
              <w:bottom w:w="60" w:type="dxa"/>
              <w:right w:w="100" w:type="dxa"/>
            </w:tcMar>
          </w:tcPr>
          <w:p w:rsidR="00C35FB2" w:rsidRDefault="00BF4945" w:rsidP="0070605C">
            <w:pPr>
              <w:spacing w:line="360" w:lineRule="auto"/>
            </w:pPr>
            <w:r>
              <w:rPr>
                <w:sz w:val="20"/>
                <w:szCs w:val="20"/>
              </w:rPr>
              <w:t>Promoción y Prevención Vial</w:t>
            </w:r>
          </w:p>
        </w:tc>
        <w:tc>
          <w:tcPr>
            <w:tcW w:w="1900" w:type="dxa"/>
            <w:tcMar>
              <w:top w:w="60" w:type="dxa"/>
              <w:left w:w="100" w:type="dxa"/>
              <w:bottom w:w="60" w:type="dxa"/>
              <w:right w:w="100" w:type="dxa"/>
            </w:tcMar>
          </w:tcPr>
          <w:p w:rsidR="00C35FB2" w:rsidRDefault="00BF4945" w:rsidP="0070605C">
            <w:pPr>
              <w:spacing w:line="360" w:lineRule="auto"/>
              <w:jc w:val="right"/>
            </w:pPr>
            <w:r>
              <w:rPr>
                <w:sz w:val="20"/>
                <w:szCs w:val="20"/>
              </w:rPr>
              <w:t>560.264.081,34</w:t>
            </w:r>
          </w:p>
        </w:tc>
        <w:tc>
          <w:tcPr>
            <w:tcW w:w="1900" w:type="dxa"/>
            <w:tcMar>
              <w:top w:w="60" w:type="dxa"/>
              <w:left w:w="100" w:type="dxa"/>
              <w:bottom w:w="60" w:type="dxa"/>
              <w:right w:w="100" w:type="dxa"/>
            </w:tcMar>
          </w:tcPr>
          <w:p w:rsidR="00C35FB2" w:rsidRDefault="00BF4945" w:rsidP="0070605C">
            <w:pPr>
              <w:spacing w:line="360" w:lineRule="auto"/>
              <w:jc w:val="right"/>
            </w:pPr>
            <w:r>
              <w:rPr>
                <w:sz w:val="20"/>
                <w:szCs w:val="20"/>
              </w:rPr>
              <w:t>270.262.646,38</w:t>
            </w:r>
          </w:p>
        </w:tc>
        <w:tc>
          <w:tcPr>
            <w:tcW w:w="1387" w:type="dxa"/>
            <w:tcMar>
              <w:top w:w="60" w:type="dxa"/>
              <w:left w:w="100" w:type="dxa"/>
              <w:bottom w:w="60" w:type="dxa"/>
              <w:right w:w="100" w:type="dxa"/>
            </w:tcMar>
          </w:tcPr>
          <w:p w:rsidR="00C35FB2" w:rsidRDefault="00BF4945" w:rsidP="0070605C">
            <w:pPr>
              <w:spacing w:line="360" w:lineRule="auto"/>
              <w:jc w:val="right"/>
            </w:pPr>
            <w:r>
              <w:rPr>
                <w:sz w:val="20"/>
                <w:szCs w:val="20"/>
              </w:rPr>
              <w:t>48,24 %</w:t>
            </w:r>
          </w:p>
        </w:tc>
      </w:tr>
      <w:tr w:rsidR="00C35FB2">
        <w:tc>
          <w:tcPr>
            <w:tcW w:w="3600" w:type="dxa"/>
            <w:tcMar>
              <w:top w:w="60" w:type="dxa"/>
              <w:left w:w="100" w:type="dxa"/>
              <w:bottom w:w="60" w:type="dxa"/>
              <w:right w:w="100" w:type="dxa"/>
            </w:tcMar>
          </w:tcPr>
          <w:p w:rsidR="00C35FB2" w:rsidRDefault="00BF4945" w:rsidP="0070605C">
            <w:pPr>
              <w:spacing w:line="360" w:lineRule="auto"/>
            </w:pPr>
            <w:r>
              <w:rPr>
                <w:sz w:val="20"/>
                <w:szCs w:val="20"/>
              </w:rPr>
              <w:t>74.00.00 Ordenamiento del Tránsito</w:t>
            </w:r>
          </w:p>
        </w:tc>
        <w:tc>
          <w:tcPr>
            <w:tcW w:w="1900" w:type="dxa"/>
            <w:tcMar>
              <w:top w:w="60" w:type="dxa"/>
              <w:left w:w="100" w:type="dxa"/>
              <w:bottom w:w="60" w:type="dxa"/>
              <w:right w:w="100" w:type="dxa"/>
            </w:tcMar>
          </w:tcPr>
          <w:p w:rsidR="00C35FB2" w:rsidRDefault="00BF4945" w:rsidP="0070605C">
            <w:pPr>
              <w:spacing w:line="360" w:lineRule="auto"/>
              <w:jc w:val="right"/>
            </w:pPr>
            <w:r>
              <w:rPr>
                <w:sz w:val="20"/>
                <w:szCs w:val="20"/>
              </w:rPr>
              <w:t>879.935.781,85</w:t>
            </w:r>
          </w:p>
        </w:tc>
        <w:tc>
          <w:tcPr>
            <w:tcW w:w="1900" w:type="dxa"/>
            <w:tcMar>
              <w:top w:w="60" w:type="dxa"/>
              <w:left w:w="100" w:type="dxa"/>
              <w:bottom w:w="60" w:type="dxa"/>
              <w:right w:w="100" w:type="dxa"/>
            </w:tcMar>
          </w:tcPr>
          <w:p w:rsidR="00C35FB2" w:rsidRDefault="00BF4945" w:rsidP="0070605C">
            <w:pPr>
              <w:spacing w:line="360" w:lineRule="auto"/>
              <w:jc w:val="right"/>
            </w:pPr>
            <w:r>
              <w:rPr>
                <w:sz w:val="20"/>
                <w:szCs w:val="20"/>
              </w:rPr>
              <w:t>430.376.684,18</w:t>
            </w:r>
          </w:p>
        </w:tc>
        <w:tc>
          <w:tcPr>
            <w:tcW w:w="1387" w:type="dxa"/>
            <w:tcMar>
              <w:top w:w="60" w:type="dxa"/>
              <w:left w:w="100" w:type="dxa"/>
              <w:bottom w:w="60" w:type="dxa"/>
              <w:right w:w="100" w:type="dxa"/>
            </w:tcMar>
          </w:tcPr>
          <w:p w:rsidR="00C35FB2" w:rsidRDefault="00BF4945" w:rsidP="0070605C">
            <w:pPr>
              <w:spacing w:line="360" w:lineRule="auto"/>
              <w:jc w:val="right"/>
            </w:pPr>
            <w:r>
              <w:rPr>
                <w:sz w:val="20"/>
                <w:szCs w:val="20"/>
              </w:rPr>
              <w:t>48,91 %</w:t>
            </w:r>
          </w:p>
        </w:tc>
      </w:tr>
      <w:tr w:rsidR="00C35FB2">
        <w:tc>
          <w:tcPr>
            <w:tcW w:w="3600" w:type="dxa"/>
            <w:tcMar>
              <w:top w:w="60" w:type="dxa"/>
              <w:left w:w="100" w:type="dxa"/>
              <w:bottom w:w="60" w:type="dxa"/>
              <w:right w:w="100" w:type="dxa"/>
            </w:tcMar>
          </w:tcPr>
          <w:p w:rsidR="00C35FB2" w:rsidRDefault="00BF4945" w:rsidP="0070605C">
            <w:pPr>
              <w:spacing w:line="360" w:lineRule="auto"/>
            </w:pPr>
            <w:r>
              <w:rPr>
                <w:sz w:val="20"/>
                <w:szCs w:val="20"/>
              </w:rPr>
              <w:t>76.00.00 Monitoreo y Videovigilancia</w:t>
            </w:r>
          </w:p>
        </w:tc>
        <w:tc>
          <w:tcPr>
            <w:tcW w:w="1900" w:type="dxa"/>
            <w:tcMar>
              <w:top w:w="60" w:type="dxa"/>
              <w:left w:w="100" w:type="dxa"/>
              <w:bottom w:w="60" w:type="dxa"/>
              <w:right w:w="100" w:type="dxa"/>
            </w:tcMar>
          </w:tcPr>
          <w:p w:rsidR="00C35FB2" w:rsidRDefault="00BF4945" w:rsidP="0070605C">
            <w:pPr>
              <w:spacing w:line="360" w:lineRule="auto"/>
              <w:jc w:val="right"/>
            </w:pPr>
            <w:r>
              <w:rPr>
                <w:sz w:val="20"/>
                <w:szCs w:val="20"/>
              </w:rPr>
              <w:t>864.296.023,94</w:t>
            </w:r>
          </w:p>
        </w:tc>
        <w:tc>
          <w:tcPr>
            <w:tcW w:w="1900" w:type="dxa"/>
            <w:tcMar>
              <w:top w:w="60" w:type="dxa"/>
              <w:left w:w="100" w:type="dxa"/>
              <w:bottom w:w="60" w:type="dxa"/>
              <w:right w:w="100" w:type="dxa"/>
            </w:tcMar>
          </w:tcPr>
          <w:p w:rsidR="00C35FB2" w:rsidRDefault="00BF4945" w:rsidP="0070605C">
            <w:pPr>
              <w:spacing w:line="360" w:lineRule="auto"/>
              <w:jc w:val="right"/>
            </w:pPr>
            <w:r>
              <w:rPr>
                <w:sz w:val="20"/>
                <w:szCs w:val="20"/>
              </w:rPr>
              <w:t>398.902.734,56</w:t>
            </w:r>
          </w:p>
        </w:tc>
        <w:tc>
          <w:tcPr>
            <w:tcW w:w="1387" w:type="dxa"/>
            <w:tcMar>
              <w:top w:w="60" w:type="dxa"/>
              <w:left w:w="100" w:type="dxa"/>
              <w:bottom w:w="60" w:type="dxa"/>
              <w:right w:w="100" w:type="dxa"/>
            </w:tcMar>
          </w:tcPr>
          <w:p w:rsidR="00C35FB2" w:rsidRDefault="00BF4945" w:rsidP="0070605C">
            <w:pPr>
              <w:spacing w:line="360" w:lineRule="auto"/>
              <w:jc w:val="right"/>
            </w:pPr>
            <w:r>
              <w:rPr>
                <w:sz w:val="20"/>
                <w:szCs w:val="20"/>
              </w:rPr>
              <w:t>46,15 %</w:t>
            </w:r>
          </w:p>
        </w:tc>
      </w:tr>
      <w:tr w:rsidR="00C35FB2">
        <w:tc>
          <w:tcPr>
            <w:tcW w:w="3600" w:type="dxa"/>
            <w:tcMar>
              <w:top w:w="60" w:type="dxa"/>
              <w:left w:w="100" w:type="dxa"/>
              <w:bottom w:w="60" w:type="dxa"/>
              <w:right w:w="100" w:type="dxa"/>
            </w:tcMar>
          </w:tcPr>
          <w:p w:rsidR="00C35FB2" w:rsidRDefault="00BF4945" w:rsidP="0070605C">
            <w:pPr>
              <w:spacing w:line="360" w:lineRule="auto"/>
            </w:pPr>
            <w:r>
              <w:rPr>
                <w:sz w:val="20"/>
                <w:szCs w:val="20"/>
              </w:rPr>
              <w:t>Defensa Civil</w:t>
            </w:r>
          </w:p>
        </w:tc>
        <w:tc>
          <w:tcPr>
            <w:tcW w:w="1900" w:type="dxa"/>
            <w:tcMar>
              <w:top w:w="60" w:type="dxa"/>
              <w:left w:w="100" w:type="dxa"/>
              <w:bottom w:w="60" w:type="dxa"/>
              <w:right w:w="100" w:type="dxa"/>
            </w:tcMar>
          </w:tcPr>
          <w:p w:rsidR="00C35FB2" w:rsidRDefault="00BF4945" w:rsidP="0070605C">
            <w:pPr>
              <w:spacing w:line="360" w:lineRule="auto"/>
              <w:jc w:val="right"/>
            </w:pPr>
            <w:r>
              <w:rPr>
                <w:sz w:val="20"/>
                <w:szCs w:val="20"/>
              </w:rPr>
              <w:t>401.945.387,91</w:t>
            </w:r>
          </w:p>
        </w:tc>
        <w:tc>
          <w:tcPr>
            <w:tcW w:w="1900" w:type="dxa"/>
            <w:tcMar>
              <w:top w:w="60" w:type="dxa"/>
              <w:left w:w="100" w:type="dxa"/>
              <w:bottom w:w="60" w:type="dxa"/>
              <w:right w:w="100" w:type="dxa"/>
            </w:tcMar>
          </w:tcPr>
          <w:p w:rsidR="00C35FB2" w:rsidRDefault="00BF4945" w:rsidP="0070605C">
            <w:pPr>
              <w:spacing w:line="360" w:lineRule="auto"/>
              <w:jc w:val="right"/>
            </w:pPr>
            <w:r>
              <w:rPr>
                <w:sz w:val="20"/>
                <w:szCs w:val="20"/>
              </w:rPr>
              <w:t>179.427.779,43</w:t>
            </w:r>
          </w:p>
        </w:tc>
        <w:tc>
          <w:tcPr>
            <w:tcW w:w="1387" w:type="dxa"/>
            <w:tcMar>
              <w:top w:w="60" w:type="dxa"/>
              <w:left w:w="100" w:type="dxa"/>
              <w:bottom w:w="60" w:type="dxa"/>
              <w:right w:w="100" w:type="dxa"/>
            </w:tcMar>
          </w:tcPr>
          <w:p w:rsidR="00C35FB2" w:rsidRDefault="00BF4945" w:rsidP="0070605C">
            <w:pPr>
              <w:spacing w:line="360" w:lineRule="auto"/>
              <w:jc w:val="right"/>
            </w:pPr>
            <w:r>
              <w:rPr>
                <w:sz w:val="20"/>
                <w:szCs w:val="20"/>
              </w:rPr>
              <w:t>44,64 %</w:t>
            </w:r>
          </w:p>
        </w:tc>
      </w:tr>
      <w:tr w:rsidR="00C35FB2">
        <w:tc>
          <w:tcPr>
            <w:tcW w:w="3600" w:type="dxa"/>
            <w:tcMar>
              <w:top w:w="60" w:type="dxa"/>
              <w:left w:w="100" w:type="dxa"/>
              <w:bottom w:w="60" w:type="dxa"/>
              <w:right w:w="100" w:type="dxa"/>
            </w:tcMar>
          </w:tcPr>
          <w:p w:rsidR="00C35FB2" w:rsidRDefault="00BF4945" w:rsidP="0070605C">
            <w:pPr>
              <w:spacing w:line="360" w:lineRule="auto"/>
            </w:pPr>
            <w:r>
              <w:rPr>
                <w:sz w:val="20"/>
                <w:szCs w:val="20"/>
              </w:rPr>
              <w:t>Control y Prevención Lacustre</w:t>
            </w:r>
          </w:p>
        </w:tc>
        <w:tc>
          <w:tcPr>
            <w:tcW w:w="1900" w:type="dxa"/>
            <w:tcMar>
              <w:top w:w="60" w:type="dxa"/>
              <w:left w:w="100" w:type="dxa"/>
              <w:bottom w:w="60" w:type="dxa"/>
              <w:right w:w="100" w:type="dxa"/>
            </w:tcMar>
          </w:tcPr>
          <w:p w:rsidR="00C35FB2" w:rsidRDefault="00BF4945" w:rsidP="0070605C">
            <w:pPr>
              <w:spacing w:line="360" w:lineRule="auto"/>
              <w:jc w:val="right"/>
            </w:pPr>
            <w:r>
              <w:rPr>
                <w:sz w:val="20"/>
                <w:szCs w:val="20"/>
              </w:rPr>
              <w:t>217.139.538,12</w:t>
            </w:r>
          </w:p>
        </w:tc>
        <w:tc>
          <w:tcPr>
            <w:tcW w:w="1900" w:type="dxa"/>
            <w:tcMar>
              <w:top w:w="60" w:type="dxa"/>
              <w:left w:w="100" w:type="dxa"/>
              <w:bottom w:w="60" w:type="dxa"/>
              <w:right w:w="100" w:type="dxa"/>
            </w:tcMar>
          </w:tcPr>
          <w:p w:rsidR="00C35FB2" w:rsidRDefault="00BF4945" w:rsidP="0070605C">
            <w:pPr>
              <w:spacing w:line="360" w:lineRule="auto"/>
              <w:jc w:val="right"/>
            </w:pPr>
            <w:r>
              <w:rPr>
                <w:sz w:val="20"/>
                <w:szCs w:val="20"/>
              </w:rPr>
              <w:t>124.882.493,78</w:t>
            </w:r>
          </w:p>
        </w:tc>
        <w:tc>
          <w:tcPr>
            <w:tcW w:w="1387" w:type="dxa"/>
            <w:tcMar>
              <w:top w:w="60" w:type="dxa"/>
              <w:left w:w="100" w:type="dxa"/>
              <w:bottom w:w="60" w:type="dxa"/>
              <w:right w:w="100" w:type="dxa"/>
            </w:tcMar>
          </w:tcPr>
          <w:p w:rsidR="00C35FB2" w:rsidRDefault="00BF4945" w:rsidP="0070605C">
            <w:pPr>
              <w:spacing w:line="360" w:lineRule="auto"/>
              <w:jc w:val="right"/>
            </w:pPr>
            <w:r>
              <w:rPr>
                <w:sz w:val="20"/>
                <w:szCs w:val="20"/>
              </w:rPr>
              <w:t>57,51 %</w:t>
            </w:r>
          </w:p>
        </w:tc>
      </w:tr>
      <w:tr w:rsidR="00C35FB2">
        <w:tc>
          <w:tcPr>
            <w:tcW w:w="3600" w:type="dxa"/>
            <w:shd w:val="clear" w:color="auto" w:fill="F2F2F2"/>
            <w:tcMar>
              <w:top w:w="60" w:type="dxa"/>
              <w:left w:w="100" w:type="dxa"/>
              <w:bottom w:w="60" w:type="dxa"/>
              <w:right w:w="100" w:type="dxa"/>
            </w:tcMar>
          </w:tcPr>
          <w:p w:rsidR="00C35FB2" w:rsidRDefault="00BF4945" w:rsidP="0070605C">
            <w:pPr>
              <w:spacing w:line="360" w:lineRule="auto"/>
            </w:pPr>
            <w:r>
              <w:rPr>
                <w:b/>
                <w:bCs/>
                <w:sz w:val="20"/>
                <w:szCs w:val="20"/>
              </w:rPr>
              <w:t>TOTAL SECRETARÍA</w:t>
            </w:r>
          </w:p>
        </w:tc>
        <w:tc>
          <w:tcPr>
            <w:tcW w:w="1900" w:type="dxa"/>
            <w:shd w:val="clear" w:color="auto" w:fill="F2F2F2"/>
            <w:tcMar>
              <w:top w:w="60" w:type="dxa"/>
              <w:left w:w="100" w:type="dxa"/>
              <w:bottom w:w="60" w:type="dxa"/>
              <w:right w:w="100" w:type="dxa"/>
            </w:tcMar>
          </w:tcPr>
          <w:p w:rsidR="00C35FB2" w:rsidRDefault="00BF4945" w:rsidP="0070605C">
            <w:pPr>
              <w:spacing w:line="360" w:lineRule="auto"/>
              <w:jc w:val="right"/>
            </w:pPr>
            <w:r>
              <w:rPr>
                <w:b/>
                <w:bCs/>
                <w:sz w:val="20"/>
                <w:szCs w:val="20"/>
              </w:rPr>
              <w:t>4.070.924.505,22</w:t>
            </w:r>
          </w:p>
        </w:tc>
        <w:tc>
          <w:tcPr>
            <w:tcW w:w="1900" w:type="dxa"/>
            <w:shd w:val="clear" w:color="auto" w:fill="F2F2F2"/>
            <w:tcMar>
              <w:top w:w="60" w:type="dxa"/>
              <w:left w:w="100" w:type="dxa"/>
              <w:bottom w:w="60" w:type="dxa"/>
              <w:right w:w="100" w:type="dxa"/>
            </w:tcMar>
          </w:tcPr>
          <w:p w:rsidR="00C35FB2" w:rsidRDefault="00BF4945" w:rsidP="0070605C">
            <w:pPr>
              <w:spacing w:line="360" w:lineRule="auto"/>
              <w:jc w:val="right"/>
            </w:pPr>
            <w:r>
              <w:rPr>
                <w:b/>
                <w:bCs/>
                <w:sz w:val="20"/>
                <w:szCs w:val="20"/>
              </w:rPr>
              <w:t>1.920.854.918,29</w:t>
            </w:r>
          </w:p>
        </w:tc>
        <w:tc>
          <w:tcPr>
            <w:tcW w:w="1387" w:type="dxa"/>
            <w:shd w:val="clear" w:color="auto" w:fill="F2F2F2"/>
            <w:tcMar>
              <w:top w:w="60" w:type="dxa"/>
              <w:left w:w="100" w:type="dxa"/>
              <w:bottom w:w="60" w:type="dxa"/>
              <w:right w:w="100" w:type="dxa"/>
            </w:tcMar>
          </w:tcPr>
          <w:p w:rsidR="00C35FB2" w:rsidRDefault="00BF4945" w:rsidP="0070605C">
            <w:pPr>
              <w:spacing w:line="360" w:lineRule="auto"/>
              <w:jc w:val="right"/>
            </w:pPr>
            <w:r>
              <w:rPr>
                <w:b/>
                <w:bCs/>
                <w:sz w:val="20"/>
                <w:szCs w:val="20"/>
              </w:rPr>
              <w:t>47,18 %</w:t>
            </w:r>
          </w:p>
        </w:tc>
      </w:tr>
    </w:tbl>
    <w:p w:rsidR="00C35FB2" w:rsidRDefault="00BF4945" w:rsidP="0070605C">
      <w:pPr>
        <w:spacing w:after="240" w:line="360" w:lineRule="auto"/>
        <w:jc w:val="both"/>
      </w:pPr>
      <w:r>
        <w:rPr>
          <w:i/>
          <w:iCs/>
          <w:sz w:val="20"/>
          <w:szCs w:val="20"/>
        </w:rPr>
        <w:t>Fuente: R.A.F.A.M., Estado de Ejecución del Presupuesto de Gastos del 01/01/2026 al 30/06/2026, emitido el 13/07/2026 y publicado en el portal municipal de transparencia. Importes en pesos.</w:t>
      </w:r>
    </w:p>
    <w:p w:rsidR="00C35FB2" w:rsidRDefault="00BF4945" w:rsidP="0070605C">
      <w:pPr>
        <w:spacing w:after="140" w:line="360" w:lineRule="auto"/>
        <w:jc w:val="both"/>
      </w:pPr>
      <w:r>
        <w:t>Que la remisión al RAFAM formulada en la respuesta se vuelve, precisamente, contra quien la invoca: el propio Estado de Ejecución publicado por el Departamento Ejecutivo contiene una apertura programática específica —76.00.00 “Monitoreo y Videovigilancia”— con un crédito vigente de $ 864.296.023,94 y un devengado de $ 398.902.734,56 al 30 de junio de 2026;</w:t>
      </w:r>
    </w:p>
    <w:p w:rsidR="00C35FB2" w:rsidRDefault="00BF4945" w:rsidP="0070605C">
      <w:pPr>
        <w:spacing w:after="140" w:line="360" w:lineRule="auto"/>
        <w:jc w:val="both"/>
      </w:pPr>
      <w:r>
        <w:t>Que, en consecuencia, la información sobre la inversión en el sistema de videovigilancia se encuentra programáticamente segregada, es de acceso público y pudo haber sido suministrada en una línea;</w:t>
      </w:r>
    </w:p>
    <w:p w:rsidR="00C35FB2" w:rsidRDefault="00BF4945" w:rsidP="0070605C">
      <w:pPr>
        <w:spacing w:after="140" w:line="360" w:lineRule="auto"/>
        <w:jc w:val="both"/>
      </w:pPr>
      <w:r>
        <w:t>Que, al mismo tiempo, esa publicación no responde ni puede responder lo que efectivamente se preguntó —cantidad de cámaras, estado operativo, proveedores, modalidades de contratación, costo por unidad y resultados—, de modo que la remisión al sistema no sustituye el informe requerido;</w:t>
      </w:r>
    </w:p>
    <w:p w:rsidR="00C35FB2" w:rsidRDefault="00BF4945" w:rsidP="0070605C">
      <w:pPr>
        <w:spacing w:after="140" w:line="360" w:lineRule="auto"/>
        <w:jc w:val="both"/>
      </w:pPr>
      <w:r>
        <w:lastRenderedPageBreak/>
        <w:t>Que el examen de esa misma ejecución arroja datos que este Cuerpo no puede pasar por alto y que refuerzan la necesidad del informe requerido:</w:t>
      </w:r>
    </w:p>
    <w:p w:rsidR="00C35FB2" w:rsidRDefault="00BF4945" w:rsidP="0070605C">
      <w:pPr>
        <w:spacing w:after="120" w:line="360" w:lineRule="auto"/>
        <w:ind w:left="340"/>
        <w:jc w:val="both"/>
      </w:pPr>
      <w:r>
        <w:t>a) El 86,81 % de lo devengado en el programa “Monitoreo y Videovigilancia” corresponde a gastos en personal ($ 346.278.595,56 sobre $ 398.902.734,56);</w:t>
      </w:r>
    </w:p>
    <w:p w:rsidR="00C35FB2" w:rsidRDefault="00BF4945" w:rsidP="0070605C">
      <w:pPr>
        <w:spacing w:after="120" w:line="360" w:lineRule="auto"/>
        <w:ind w:left="340"/>
        <w:jc w:val="both"/>
      </w:pPr>
      <w:r>
        <w:t>b) La partida 4.0.0.0 “Bienes de uso” del programa registra un devengado de $ 246.088,32 sobre un crédito vigente de $ 16.103.332,51, esto es, una ejecución del 1,53 %;</w:t>
      </w:r>
    </w:p>
    <w:p w:rsidR="00C35FB2" w:rsidRDefault="00BF4945" w:rsidP="0070605C">
      <w:pPr>
        <w:spacing w:after="120" w:line="360" w:lineRule="auto"/>
        <w:ind w:left="340"/>
        <w:jc w:val="both"/>
      </w:pPr>
      <w:r>
        <w:t>c) La partida 4.4.0.0 “Equipo de seguridad”, con un crédito vigente de $ 8.508.767,34, no registra devengamiento alguno al 30 de junio de 2026;</w:t>
      </w:r>
    </w:p>
    <w:p w:rsidR="00C35FB2" w:rsidRDefault="00BF4945" w:rsidP="0070605C">
      <w:pPr>
        <w:spacing w:after="120" w:line="360" w:lineRule="auto"/>
        <w:ind w:left="340"/>
        <w:jc w:val="both"/>
      </w:pPr>
      <w:r>
        <w:t>d) La partida 3.3.0.0 “Mantenimiento, reparación y limpieza” del programa registra un devengado de $ 641.000,00 sobre un crédito vigente de $ 6.919.433,43, esto es, una ejecución del 9,26 %, dato particularmente relevante cuando se trata de un parque de cámaras cuya cantidad y estado operativo la Secretaría se niega a informar;</w:t>
      </w:r>
    </w:p>
    <w:p w:rsidR="00C35FB2" w:rsidRDefault="00BF4945" w:rsidP="0070605C">
      <w:pPr>
        <w:spacing w:after="120" w:line="360" w:lineRule="auto"/>
        <w:ind w:left="340"/>
        <w:jc w:val="both"/>
      </w:pPr>
      <w:r>
        <w:t>e) La partida 3.1.0.0 “Servicios básicos” del programa registra un compromiso de $ 49.118.134,17 sobre un crédito vigente de $ 45.414.452,55, arrojando un crédito disponible negativo de $ 3.703.681,62;</w:t>
      </w:r>
    </w:p>
    <w:p w:rsidR="00C35FB2" w:rsidRDefault="00BF4945" w:rsidP="0070605C">
      <w:pPr>
        <w:spacing w:after="140" w:line="360" w:lineRule="auto"/>
        <w:jc w:val="both"/>
      </w:pPr>
      <w:r>
        <w:t>Que la invocación del artículo 2.º de la Ley N.º 12.154, si bien textualmente correcta, resulta inconducente como causal de excusación;</w:t>
      </w:r>
    </w:p>
    <w:p w:rsidR="00C35FB2" w:rsidRDefault="00BF4945" w:rsidP="0070605C">
      <w:pPr>
        <w:spacing w:after="140" w:line="360" w:lineRule="auto"/>
        <w:jc w:val="both"/>
      </w:pPr>
      <w:r>
        <w:t>Que, además, el Partido de Chascomús cuenta con Jefatura y Estación de Policía Comunal de Seguridad, por decisión de la actual administración municipal, y que el artículo 6.º de la Ley N.º 13.210 y el artículo 53 de la Ley N.º 13.482 establecen que las Policías Comunales de Seguridad dependen funcionalmente del Intendente Municipal, disponiendo el artículo 22 de la Ley N.º 13.210 que su Jefe es designado y removido en acuerdo con aquél;</w:t>
      </w:r>
    </w:p>
    <w:p w:rsidR="00C35FB2" w:rsidRDefault="00BF4945" w:rsidP="0070605C">
      <w:pPr>
        <w:spacing w:after="140" w:line="360" w:lineRule="auto"/>
        <w:jc w:val="both"/>
      </w:pPr>
      <w:r>
        <w:t>Que, a ello, se suma el artículo 178 inciso 4.º de la Ley Orgánica de las Municipalidades, que establece que el Intendente tendrá como auxiliares para el cumplimiento de sus atribuciones y deberes a las autoridades policiales establecidas en la jurisdicción de la Municipalidad;</w:t>
      </w:r>
    </w:p>
    <w:p w:rsidR="00C35FB2" w:rsidRDefault="00BF4945" w:rsidP="0070605C">
      <w:pPr>
        <w:spacing w:after="140" w:line="360" w:lineRule="auto"/>
        <w:jc w:val="both"/>
      </w:pPr>
      <w:r>
        <w:lastRenderedPageBreak/>
        <w:t>Que el artículo 165 inciso 6.º de la Ley Orgánica de las Municipalidades impone al Departamento Ejecutivo publicar semestralmente una reseña de sus programas de servicios, unidades de servicios prestados, costos y recursos con los que se financiaron, y el artículo 112 exige que el presupuesto prevea aperturas de programas que identifiquen los gastos de los principales servicios, extremo que, como se ha visto, se cumple respecto del gasto pero no respecto de las unidades de servicio prestadas, que son justamente las que este Cuerpo requiere conocer;</w:t>
      </w:r>
    </w:p>
    <w:p w:rsidR="00C35FB2" w:rsidRDefault="00BF4945" w:rsidP="0070605C">
      <w:pPr>
        <w:spacing w:after="140" w:line="360" w:lineRule="auto"/>
        <w:jc w:val="both"/>
      </w:pPr>
      <w:r>
        <w:t>Que la negativa a informar sobre el sistema de videovigilancia no invoca norma alguna que sustente la reserva y que, en caso de existir información cuya difusión pública el Departamento Ejecutivo considere inconveniente, el artículo 71 de la Ley Orgánica de las Municipalidades habilita a este Cuerpo a conferir carácter secreto a sus sesiones o comisiones, temperamento que se ofrece expresamente en el presente;</w:t>
      </w:r>
    </w:p>
    <w:p w:rsidR="00C35FB2" w:rsidRDefault="00BF4945" w:rsidP="0070605C">
      <w:pPr>
        <w:spacing w:after="140" w:line="360" w:lineRule="auto"/>
        <w:jc w:val="both"/>
      </w:pPr>
      <w:r>
        <w:t>Que la sugerencia de que los Concejales se acerquen al Centro de Monitoreo no sustituye un informe documentado, en tanto una visita no permite verificar series históricas, montos ejecutados por ejercicio, requerimientos judiciales satisfechos e insatisfechos, plazos de guarda de las grabaciones ni indicadores de gestión;</w:t>
      </w:r>
    </w:p>
    <w:p w:rsidR="00C35FB2" w:rsidRDefault="00BF4945" w:rsidP="0070605C">
      <w:pPr>
        <w:spacing w:after="240" w:line="360" w:lineRule="auto"/>
        <w:jc w:val="both"/>
      </w:pPr>
      <w:r>
        <w:t>Por ello, los Bloques POTENCIA y GEN, en ejercicio de las atribuciones conferidas por la Ley Orgánica de las Municipalidades, proponen el siguiente:</w:t>
      </w:r>
    </w:p>
    <w:p w:rsidR="00C35FB2" w:rsidRPr="0070605C" w:rsidRDefault="00BF4945" w:rsidP="0070605C">
      <w:pPr>
        <w:spacing w:after="240" w:line="360" w:lineRule="auto"/>
        <w:jc w:val="center"/>
        <w:rPr>
          <w:u w:val="single"/>
        </w:rPr>
      </w:pPr>
      <w:r w:rsidRPr="0070605C">
        <w:rPr>
          <w:b/>
          <w:bCs/>
          <w:u w:val="single"/>
        </w:rPr>
        <w:t>PROYECTO DE COMUNICACIÓN:</w:t>
      </w:r>
    </w:p>
    <w:p w:rsidR="00C35FB2" w:rsidRDefault="00BF4945" w:rsidP="0070605C">
      <w:pPr>
        <w:spacing w:after="140" w:line="360" w:lineRule="auto"/>
        <w:jc w:val="both"/>
      </w:pPr>
      <w:r w:rsidRPr="0070605C">
        <w:rPr>
          <w:b/>
        </w:rPr>
        <w:t>ARTÍCULO 1.º</w:t>
      </w:r>
      <w:r>
        <w:t>:  Insístese ante el Departamento Ejecutivo Municipal en la contestación completa, puntual y documentada de los ocho (8) puntos de la Comunicación N.º 4141/C, ninguno de los cuales fue respondido en tales términos, con los siguientes alcances:</w:t>
      </w:r>
    </w:p>
    <w:p w:rsidR="00C35FB2" w:rsidRDefault="00BF4945" w:rsidP="0070605C">
      <w:pPr>
        <w:spacing w:after="120" w:line="360" w:lineRule="auto"/>
        <w:ind w:left="340"/>
        <w:jc w:val="both"/>
      </w:pPr>
      <w:r>
        <w:t xml:space="preserve">1. Cantidad de hechos delictivos denunciados en el Partido de Chascomús durante los últimos veinticuatro (24) meses, con detalle mensual y discriminación por tipo de delito. Para el supuesto de que el Municipio sostenga carecer de dicha información: a) indíquese si existe convenio, mesa de trabajo o mecanismo formal de acceso con el Ministerio de Seguridad de la Provincia de Buenos Aires o con la Jefatura de Policía Comunal de </w:t>
      </w:r>
      <w:r>
        <w:lastRenderedPageBreak/>
        <w:t>Chascomús; b) infórmese si dicha información fue requerida y con qué resultado; y c) acompáñense, en subsidio, los registros propios de eventos del Centro de Monitoreo Municipal correspondientes a igual período.</w:t>
      </w:r>
    </w:p>
    <w:p w:rsidR="00C35FB2" w:rsidRDefault="00BF4945" w:rsidP="0070605C">
      <w:pPr>
        <w:spacing w:after="120" w:line="360" w:lineRule="auto"/>
        <w:ind w:left="340"/>
        <w:jc w:val="both"/>
      </w:pPr>
      <w:r>
        <w:t>2. Motivo puntual por el cual no se ha brindado información pública periódica sobre la situación de seguridad local; cronograma concreto, con periodicidad definida, para subsanarlo; e indicación de si se ha dictado o se proyecta dictar acto administrativo que establezca dicha obligación.</w:t>
      </w:r>
    </w:p>
    <w:p w:rsidR="00C35FB2" w:rsidRDefault="00BF4945" w:rsidP="0070605C">
      <w:pPr>
        <w:spacing w:after="120" w:line="360" w:lineRule="auto"/>
        <w:ind w:left="340"/>
        <w:jc w:val="both"/>
      </w:pPr>
      <w:r>
        <w:t>3. Copia íntegra del Plan de Seguridad Integral, con indicación del acto administrativo que lo aprobó —tipo, número y fecha—, constancia de su publicación en el Boletín Oficial Municipal conforme al artículo 108 inciso 18.º de la Ley Orgánica de las Municipalidades, y detalle de sus metas, indicadores y plazos. Respecto del Plan de Seguridad Rural: estado de avance, cronograma de elaboración y fecha estimada de finalización.</w:t>
      </w:r>
    </w:p>
    <w:p w:rsidR="00C35FB2" w:rsidRDefault="00BF4945" w:rsidP="0070605C">
      <w:pPr>
        <w:spacing w:after="120" w:line="360" w:lineRule="auto"/>
        <w:ind w:left="340"/>
        <w:jc w:val="both"/>
      </w:pPr>
      <w:r>
        <w:t>4. Medidas de coordinación con la Policía Comunal de Chascomús en particular —extremo no abordado en la respuesta—, precisando periodicidad de las reuniones, actas o registros labrados, convenios vigentes y resultados obtenidos.</w:t>
      </w:r>
    </w:p>
    <w:p w:rsidR="00C35FB2" w:rsidRDefault="00BF4945" w:rsidP="0070605C">
      <w:pPr>
        <w:spacing w:after="120" w:line="360" w:lineRule="auto"/>
        <w:ind w:left="340"/>
        <w:jc w:val="both"/>
      </w:pPr>
      <w:r>
        <w:t>5. Copia del protocolo de actuación aplicable ante hechos de violencia entre jóvenes, con indicación del acto administrativo que lo aprobó; y, respecto del episodio referido en la Comunicación N.º 4141/C: fecha y hora del hecho, hora de la primera alerta recibida, medio por el cual ingresó, hora de arribo de cada uno de los efectores intervinientes, actuaciones labradas y destino dado a las mismas.</w:t>
      </w:r>
    </w:p>
    <w:p w:rsidR="00C35FB2" w:rsidRDefault="00BF4945" w:rsidP="0070605C">
      <w:pPr>
        <w:spacing w:after="120" w:line="360" w:lineRule="auto"/>
        <w:ind w:left="340"/>
        <w:jc w:val="both"/>
      </w:pPr>
      <w:r>
        <w:t>6. Enumeración de las medidas concretas adoptadas para prevenir situaciones de violencia social derivadas de la falta de intervención estatal, con indicación del área responsable, fecha de inicio y presupuesto asignado a cada una.</w:t>
      </w:r>
    </w:p>
    <w:p w:rsidR="00C35FB2" w:rsidRDefault="00BF4945" w:rsidP="0070605C">
      <w:pPr>
        <w:spacing w:after="120" w:line="360" w:lineRule="auto"/>
        <w:ind w:left="340"/>
        <w:jc w:val="both"/>
      </w:pPr>
      <w:r>
        <w:t>7. Acciones concretas implementadas para garantizar una respuesta efectiva ante denuncias de robo y, en particular, descripción del circuito por el cual un vecino damnificado puede requerir y obtener imágenes registradas por el sistema municipal de videovigilancia.</w:t>
      </w:r>
    </w:p>
    <w:p w:rsidR="00C35FB2" w:rsidRDefault="00BF4945" w:rsidP="0070605C">
      <w:pPr>
        <w:spacing w:after="120" w:line="360" w:lineRule="auto"/>
        <w:ind w:left="340"/>
        <w:jc w:val="both"/>
      </w:pPr>
      <w:r>
        <w:lastRenderedPageBreak/>
        <w:t>8. Respecto de los programas “Ojos en Alerta” y “BAsSApp”: cantidad de usuarios registrados, alertas recibidas y alertas efectivamente respondidas durante los últimos veinticuatro (24) meses con detalle mensual; tiempo promedio de respuesta; y precisión de cuál de ambos programas es de gestión municipal y cuál corresponde al Ministerio de Seguridad de la Provincia de Buenos Aires.</w:t>
      </w:r>
    </w:p>
    <w:p w:rsidR="00C35FB2" w:rsidRDefault="00BF4945" w:rsidP="0070605C">
      <w:pPr>
        <w:spacing w:after="140" w:line="360" w:lineRule="auto"/>
        <w:jc w:val="both"/>
      </w:pPr>
      <w:r w:rsidRPr="0070605C">
        <w:rPr>
          <w:b/>
        </w:rPr>
        <w:t>ARTÍCULO 2.º:</w:t>
      </w:r>
      <w:r>
        <w:t xml:space="preserve">  Requiérase la contestación íntegra y documentada de la totalidad de los veinticuatro (24) puntos de la Comunicación N.º 4158/C, respondiendo punto por punto y con los siguientes alcances mínimos:</w:t>
      </w:r>
    </w:p>
    <w:p w:rsidR="00C35FB2" w:rsidRDefault="00BF4945" w:rsidP="0070605C">
      <w:pPr>
        <w:spacing w:after="120" w:line="360" w:lineRule="auto"/>
        <w:ind w:left="340"/>
        <w:jc w:val="both"/>
      </w:pPr>
      <w:r>
        <w:t>a) Eje I — Infraestructura y estado operativo (puntos 1 a 4): cantidad total de cámaras discriminadas por tipo y emplazamiento; cantidad operativa y fuera de servicio con individualización y antigüedad de la falla; evolución del parque urbano y rural durante los últimos tres (3) años; y fecha y resultado de la última auditoría o relevamiento técnico.</w:t>
      </w:r>
    </w:p>
    <w:p w:rsidR="00C35FB2" w:rsidRDefault="00BF4945" w:rsidP="0070605C">
      <w:pPr>
        <w:spacing w:after="120" w:line="360" w:lineRule="auto"/>
        <w:ind w:left="340"/>
        <w:jc w:val="both"/>
      </w:pPr>
      <w:r>
        <w:t>b) Eje II — Inversión y costos (puntos 5 a 7): montos efectivamente ejecutados por ejercicio durante los últimos cinco (5) años; costo anual de operación y mantenimiento discriminado; y nómina de proveedores por componente, con modalidad de contratación, número de expediente y número de boletín del Sistema de Boletín Oficial Municipal en que fue publicada cada adjudicación.</w:t>
      </w:r>
    </w:p>
    <w:p w:rsidR="00C35FB2" w:rsidRDefault="00BF4945" w:rsidP="0070605C">
      <w:pPr>
        <w:spacing w:after="120" w:line="360" w:lineRule="auto"/>
        <w:ind w:left="340"/>
        <w:jc w:val="both"/>
      </w:pPr>
      <w:r>
        <w:t>c) Eje III — Operación del Centro de Monitoreo (puntos 8 a 11): copia del protocolo escrito de actuación y del acto administrativo que lo aprobó; acto administrativo que dispuso el cambio en el modo de monitoreo por puesto referido en la respuesta; dotación de operadores por turno y cobertura horaria efectiva; cantidad de cámaras supervisadas simultáneamente por operador; y tiempo promedio de respuesta entre la detección de un hecho y el arribo del móvil policial.</w:t>
      </w:r>
    </w:p>
    <w:p w:rsidR="00C35FB2" w:rsidRDefault="00BF4945" w:rsidP="0070605C">
      <w:pPr>
        <w:spacing w:after="120" w:line="360" w:lineRule="auto"/>
        <w:ind w:left="340"/>
        <w:jc w:val="both"/>
      </w:pPr>
      <w:r>
        <w:t>d) Eje IV — Resultados preventivos (puntos 12 a 15): detalle mensual de intervenciones originadas en detección proactiva en Monitoreo Municipal, aprehensiones en flagrancia y hechos impedidos; y respuesta expresa al punto 15, no mencionado en la contestación.</w:t>
      </w:r>
    </w:p>
    <w:p w:rsidR="00C35FB2" w:rsidRDefault="00BF4945" w:rsidP="0070605C">
      <w:pPr>
        <w:spacing w:after="120" w:line="360" w:lineRule="auto"/>
        <w:ind w:left="340"/>
        <w:jc w:val="both"/>
      </w:pPr>
      <w:r>
        <w:t xml:space="preserve">e) Eje V — Aporte al esclarecimiento (puntos 16 a 20): registro de requerimientos de imágenes efectuados por el Ministerio Público Fiscal, el Poder Judicial y las fuerzas de </w:t>
      </w:r>
      <w:r>
        <w:lastRenderedPageBreak/>
        <w:t>seguridad durante los últimos treinta y seis (36) meses; cantidad satisfecha y cantidad no satisfecha con indicación de la causa en cada caso; plazo de conservación de las grabaciones; y capacidad de almacenamiento del sistema.</w:t>
      </w:r>
    </w:p>
    <w:p w:rsidR="00C35FB2" w:rsidRDefault="00BF4945" w:rsidP="0070605C">
      <w:pPr>
        <w:spacing w:after="120" w:line="360" w:lineRule="auto"/>
        <w:ind w:left="340"/>
        <w:jc w:val="both"/>
      </w:pPr>
      <w:r>
        <w:t>f) Eje VI — Evaluación y control de gestión (puntos 21 a 24): indicadores concretos con los que se mide la eficacia del sistema; evaluación de costo-beneficio o de impacto, en caso de existir; modo de articulación con el programa “Ojos en Alerta” y resultados atribuibles; y previsiones presupuestarias de ampliación, renovación o mantenimiento para el ejercicio en curso y el siguiente.</w:t>
      </w:r>
    </w:p>
    <w:p w:rsidR="00C35FB2" w:rsidRDefault="00BF4945" w:rsidP="0070605C">
      <w:pPr>
        <w:spacing w:after="140" w:line="360" w:lineRule="auto"/>
        <w:jc w:val="both"/>
      </w:pPr>
      <w:r w:rsidRPr="0070605C">
        <w:rPr>
          <w:b/>
        </w:rPr>
        <w:t>ARTÍCULO 3.º</w:t>
      </w:r>
      <w:r>
        <w:t>:  Amplíase el pedido de informes, requiriéndose que se informe respecto de la ejecución presupuestaria del área al 30 de junio de 2026:</w:t>
      </w:r>
    </w:p>
    <w:p w:rsidR="00C35FB2" w:rsidRDefault="00BF4945" w:rsidP="0070605C">
      <w:pPr>
        <w:spacing w:after="120" w:line="360" w:lineRule="auto"/>
        <w:ind w:left="340"/>
        <w:jc w:val="both"/>
      </w:pPr>
      <w:r>
        <w:t>a) Detalle de la ejecución de la apertura programática 76.00.00 “Monitoreo y Videovigilancia”, discriminada por partida y objeto del gasto, individualizando cada erogación imputada a las partidas 3.1.0.0 “Servicios básicos”, 3.3.0.0 “Mantenimiento, reparación y limpieza” y 3.4.0.0 “Servicios técnicos y profesionales”, con indicación de proveedor, concepto, número de orden de compra y expediente.</w:t>
      </w:r>
    </w:p>
    <w:p w:rsidR="00C35FB2" w:rsidRDefault="00BF4945" w:rsidP="0070605C">
      <w:pPr>
        <w:spacing w:after="120" w:line="360" w:lineRule="auto"/>
        <w:ind w:left="340"/>
        <w:jc w:val="both"/>
      </w:pPr>
      <w:r>
        <w:t>b) Motivo por el cual la partida 4.0.0.0 “Bienes de uso” del citado programa registra un devengado de $ 246.088,32 sobre un crédito vigente de $ 16.103.332,51 (1,53 %), y por el cual la partida 4.4.0.0 “Equipo de seguridad”, con crédito vigente de $ 8.508.767,34, no registra devengamiento alguno. Indíquese si ello obedece a que no se adquirió equipamiento ni cámaras durante el semestre y, en caso afirmativo, cuál es el cronograma de adquisición previsto para el segundo semestre.</w:t>
      </w:r>
    </w:p>
    <w:p w:rsidR="00C35FB2" w:rsidRDefault="00BF4945" w:rsidP="0070605C">
      <w:pPr>
        <w:spacing w:after="120" w:line="360" w:lineRule="auto"/>
        <w:ind w:left="340"/>
        <w:jc w:val="both"/>
      </w:pPr>
      <w:r>
        <w:t>c) Motivo por el cual la partida 3.3.0.0 “Mantenimiento, reparación y limpieza” del programa registra un devengado de $ 641.000,00 sobre un crédito vigente de $ 6.919.433,43 (9,26 %), detallándose qué tareas de mantenimiento del parque de cámaras se ejecutaron durante el semestre, sobre cuántos equipos y con qué resultado.</w:t>
      </w:r>
    </w:p>
    <w:p w:rsidR="00C35FB2" w:rsidRDefault="00BF4945" w:rsidP="0070605C">
      <w:pPr>
        <w:spacing w:after="120" w:line="360" w:lineRule="auto"/>
        <w:ind w:left="340"/>
        <w:jc w:val="both"/>
      </w:pPr>
      <w:r>
        <w:t xml:space="preserve">d) Explicación de que la partida 3.1.0.0 “Servicios básicos” del programa registre un compromiso de $ 49.118.134,17 sobre un crédito vigente de $ 45.414.452,55, con crédito </w:t>
      </w:r>
      <w:r>
        <w:lastRenderedPageBreak/>
        <w:t>disponible negativo de $ 3.703.681,62, e indicación de la medida prevista para regularizar dicha situación.</w:t>
      </w:r>
    </w:p>
    <w:p w:rsidR="00C35FB2" w:rsidRDefault="00BF4945" w:rsidP="0070605C">
      <w:pPr>
        <w:spacing w:after="120" w:line="360" w:lineRule="auto"/>
        <w:ind w:left="340"/>
        <w:jc w:val="both"/>
      </w:pPr>
      <w:r>
        <w:t>e) Composición de la dotación de personal imputada al programa, discriminando planta permanente y personal temporario, cantidad de agentes en cada régimen y su afectación funcional efectiva al Centro de Monitoreo, precisándose el motivo por el cual la partida 1.2.0.0 “Personal temporario” registra un devengado de $ 72.313.906,45 sobre un crédito vigente de $ 343.877.051,61.</w:t>
      </w:r>
    </w:p>
    <w:p w:rsidR="00C35FB2" w:rsidRDefault="00BF4945" w:rsidP="0070605C">
      <w:pPr>
        <w:spacing w:after="120" w:line="360" w:lineRule="auto"/>
        <w:ind w:left="340"/>
        <w:jc w:val="both"/>
      </w:pPr>
      <w:r>
        <w:t>f) Detalle de las transferencias devengadas en la apertura programática 71.00.00 “Prevención del Delito y las Violencias” —$ 94.445.764,07 con fuente Tesoro Municipal y $ 54.578.772,00 de origen provincial—, indicando beneficiarios, concepto, acto administrativo que las dispuso y destino aplicado.</w:t>
      </w:r>
    </w:p>
    <w:p w:rsidR="00C35FB2" w:rsidRDefault="00BF4945" w:rsidP="0070605C">
      <w:pPr>
        <w:spacing w:after="120" w:line="360" w:lineRule="auto"/>
        <w:ind w:left="340"/>
        <w:jc w:val="both"/>
      </w:pPr>
      <w:r>
        <w:t>g) Indicación de toda otra apertura programática, ajena a la N.º 76.00.00, bajo la cual se imputen gastos correspondientes al sistema de videovigilancia o al Centro de Monitoreo, si las hubiere.</w:t>
      </w:r>
    </w:p>
    <w:p w:rsidR="00C35FB2" w:rsidRDefault="00BF4945" w:rsidP="0070605C">
      <w:pPr>
        <w:spacing w:after="140" w:line="360" w:lineRule="auto"/>
        <w:jc w:val="both"/>
      </w:pPr>
      <w:r w:rsidRPr="0070605C">
        <w:rPr>
          <w:b/>
        </w:rPr>
        <w:t>ARTÍCULO 4.º:</w:t>
      </w:r>
      <w:r>
        <w:t xml:space="preserve">  Requiérase al Departamento Ejecutivo Municipal la remisión de los informes mensuales invocados reiteradamente en la respuesta a la Comunicación N.º 4158/C, correspondientes a los últimos treinta y seis (36) meses, con indicación de la nómina de destinatarios a los que fueron entregados, las fechas de entrega y las constancias de remisión.</w:t>
      </w:r>
    </w:p>
    <w:p w:rsidR="00C35FB2" w:rsidRDefault="00BF4945" w:rsidP="0070605C">
      <w:pPr>
        <w:spacing w:after="140" w:line="360" w:lineRule="auto"/>
        <w:jc w:val="both"/>
      </w:pPr>
      <w:r w:rsidRPr="0070605C">
        <w:rPr>
          <w:b/>
        </w:rPr>
        <w:t>ARTÍCULO 5.º:</w:t>
      </w:r>
      <w:r>
        <w:t xml:space="preserve">  Ofrécese al Departamento Ejecutivo Municipal, respecto de aquella información cuya difusión pública considere inconveniente por razones operativas, su tratamiento en comisión de carácter secreto en los términos del artículo 71 de la Ley Orgánica de las Municipalidades, a cuyo efecto deberá individualizar con precisión los puntos alcanzados e indicar la norma que sustente la reserva invocada.</w:t>
      </w:r>
    </w:p>
    <w:p w:rsidR="00C35FB2" w:rsidRDefault="00BF4945" w:rsidP="0070605C">
      <w:pPr>
        <w:spacing w:after="140" w:line="360" w:lineRule="auto"/>
        <w:jc w:val="both"/>
      </w:pPr>
      <w:r w:rsidRPr="0070605C">
        <w:rPr>
          <w:b/>
        </w:rPr>
        <w:t>ARTÍCULO 6.º:</w:t>
      </w:r>
      <w:r>
        <w:t xml:space="preserve">  Recuérdase a la señora Secretaria de Seguridad Ciudadana que el Honorable Concejo Deliberante es el órgano de contralor de la administración municipal y que, en tal carácter, el requerimiento de informes no constituye una interferencia en su </w:t>
      </w:r>
      <w:r>
        <w:lastRenderedPageBreak/>
        <w:t>gestión, sino el ejercicio regular de una función que el ordenamiento le asigna a este Cuerpo; que rendir cuentas de lo actuado es parte sustantiva de la responsabilidad de una funcionaria política y no una carga ajena a ella; que los informes requeridos deben satisfacerse con nivel técnico, datos verificables y documentación respaldatoria, y no mediante formulaciones genéricas o declamativas; y que la magnitud de los recursos puestos a su disposición para garantizar la seguridad pública —un crédito vigente superior a los cuatro mil millones de pesos, de los cuales se devengaron más de mil novecientos veinte millones en sólo seis meses— torna ineludible que este Cuerpo pueda diagnosticar con precisión cómo han sido aplicados.</w:t>
      </w:r>
    </w:p>
    <w:p w:rsidR="00C35FB2" w:rsidRDefault="00BF4945" w:rsidP="0070605C">
      <w:pPr>
        <w:spacing w:after="140" w:line="360" w:lineRule="auto"/>
        <w:jc w:val="both"/>
      </w:pPr>
      <w:r w:rsidRPr="0070605C">
        <w:rPr>
          <w:b/>
        </w:rPr>
        <w:t>ARTÍCULO 7.º</w:t>
      </w:r>
      <w:r>
        <w:t>:  Encomiéndase la remisión de la respuesta íntegra a lo requerido en los artículos precedentes dentro del plazo de diez (10) días hábiles contados a partir de la notificación de la presente.</w:t>
      </w:r>
    </w:p>
    <w:p w:rsidR="00C35FB2" w:rsidRDefault="00BF4945" w:rsidP="0070605C">
      <w:pPr>
        <w:spacing w:after="140" w:line="360" w:lineRule="auto"/>
        <w:jc w:val="both"/>
      </w:pPr>
      <w:r w:rsidRPr="0070605C">
        <w:rPr>
          <w:b/>
        </w:rPr>
        <w:t>ARTÍCULO 8.º:</w:t>
      </w:r>
      <w:r>
        <w:t xml:space="preserve">  Déjase constancia de que la remisión genérica a reuniones no documentadas, a informes no acompañados o a sistemas de gestión interna sin precisión de dato no satisface el deber de suministrar información establecido en el artículo 108 inciso 7.º de la Ley Orgánica de las Municipalidades, norma que califica como falta grave la negativa del Intendente o de sus Secretarios a suministrar la información solicitada por este Cuerpo.</w:t>
      </w:r>
    </w:p>
    <w:p w:rsidR="00C35FB2" w:rsidRDefault="00BF4945" w:rsidP="0070605C">
      <w:pPr>
        <w:spacing w:after="140" w:line="360" w:lineRule="auto"/>
        <w:jc w:val="both"/>
      </w:pPr>
      <w:r w:rsidRPr="0070605C">
        <w:rPr>
          <w:b/>
        </w:rPr>
        <w:t>ARTÍCULO 9.º:</w:t>
      </w:r>
      <w:r>
        <w:t xml:space="preserve">  Comuníquese al Departamento Ejecutivo Municipal y, por su intermedio, a la Secretaría de Seguridad Ciudadana.</w:t>
      </w:r>
      <w:bookmarkStart w:id="0" w:name="_GoBack"/>
      <w:bookmarkEnd w:id="0"/>
    </w:p>
    <w:p w:rsidR="00C35FB2" w:rsidRDefault="00BF4945" w:rsidP="0070605C">
      <w:pPr>
        <w:spacing w:after="400" w:line="360" w:lineRule="auto"/>
        <w:jc w:val="both"/>
      </w:pPr>
      <w:r w:rsidRPr="0070605C">
        <w:rPr>
          <w:b/>
        </w:rPr>
        <w:t>ARTÍCULO 10.º:</w:t>
      </w:r>
      <w:r>
        <w:t xml:space="preserve">  De forma.</w:t>
      </w:r>
    </w:p>
    <w:p w:rsidR="00C35FB2" w:rsidRDefault="00C35FB2" w:rsidP="0070605C">
      <w:pPr>
        <w:spacing w:after="100" w:line="360" w:lineRule="auto"/>
        <w:jc w:val="both"/>
      </w:pPr>
    </w:p>
    <w:sectPr w:rsidR="00C35FB2">
      <w:headerReference w:type="default" r:id="rId7"/>
      <w:pgSz w:w="11906" w:h="16838"/>
      <w:pgMar w:top="1418" w:right="1418" w:bottom="1418" w:left="1701"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1DC8" w:rsidRDefault="00471DC8" w:rsidP="0070605C">
      <w:r>
        <w:separator/>
      </w:r>
    </w:p>
  </w:endnote>
  <w:endnote w:type="continuationSeparator" w:id="0">
    <w:p w:rsidR="00471DC8" w:rsidRDefault="00471DC8" w:rsidP="007060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1DC8" w:rsidRDefault="00471DC8" w:rsidP="0070605C">
      <w:r>
        <w:separator/>
      </w:r>
    </w:p>
  </w:footnote>
  <w:footnote w:type="continuationSeparator" w:id="0">
    <w:p w:rsidR="00471DC8" w:rsidRDefault="00471DC8" w:rsidP="0070605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605C" w:rsidRPr="0070605C" w:rsidRDefault="0070605C" w:rsidP="0070605C">
    <w:pPr>
      <w:ind w:left="170"/>
      <w:jc w:val="center"/>
      <w:rPr>
        <w:rFonts w:ascii="Footlight MT Light" w:hAnsi="Footlight MT Light"/>
        <w:color w:val="000000"/>
        <w:sz w:val="20"/>
        <w:szCs w:val="20"/>
        <w:lang w:eastAsia="es-ES"/>
      </w:rPr>
    </w:pPr>
    <w:r w:rsidRPr="0070605C">
      <w:rPr>
        <w:rFonts w:ascii="Footlight MT Light" w:hAnsi="Footlight MT Light"/>
        <w:noProof/>
        <w:color w:val="000000"/>
        <w:sz w:val="20"/>
        <w:szCs w:val="20"/>
        <w:lang w:val="en-US" w:eastAsia="en-US"/>
      </w:rPr>
      <w:drawing>
        <wp:inline distT="0" distB="0" distL="0" distR="0" wp14:anchorId="5FA3CE6F" wp14:editId="2A3364F9">
          <wp:extent cx="695325" cy="600075"/>
          <wp:effectExtent l="0" t="0" r="9525" b="9525"/>
          <wp:docPr id="1" name="Imagen 1" descr="Escudo Chascomú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udo Chascomú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5325" cy="600075"/>
                  </a:xfrm>
                  <a:prstGeom prst="rect">
                    <a:avLst/>
                  </a:prstGeom>
                  <a:noFill/>
                  <a:ln>
                    <a:noFill/>
                  </a:ln>
                </pic:spPr>
              </pic:pic>
            </a:graphicData>
          </a:graphic>
        </wp:inline>
      </w:drawing>
    </w:r>
  </w:p>
  <w:p w:rsidR="0070605C" w:rsidRPr="0070605C" w:rsidRDefault="0070605C" w:rsidP="0070605C">
    <w:pPr>
      <w:keepNext/>
      <w:ind w:left="170"/>
      <w:jc w:val="center"/>
      <w:outlineLvl w:val="0"/>
      <w:rPr>
        <w:b/>
        <w:bCs/>
        <w:color w:val="000000"/>
        <w:sz w:val="22"/>
        <w:szCs w:val="22"/>
        <w:lang w:eastAsia="es-ES"/>
      </w:rPr>
    </w:pPr>
    <w:r w:rsidRPr="0070605C">
      <w:rPr>
        <w:b/>
        <w:bCs/>
        <w:color w:val="000000"/>
        <w:sz w:val="22"/>
        <w:szCs w:val="22"/>
        <w:lang w:eastAsia="es-ES"/>
      </w:rPr>
      <w:t>Honorable Concejo Deliberante</w:t>
    </w:r>
  </w:p>
  <w:p w:rsidR="0070605C" w:rsidRPr="0070605C" w:rsidRDefault="0070605C" w:rsidP="0070605C">
    <w:pPr>
      <w:ind w:left="170"/>
      <w:jc w:val="center"/>
      <w:rPr>
        <w:b/>
        <w:bCs/>
        <w:color w:val="000000"/>
        <w:sz w:val="22"/>
        <w:szCs w:val="22"/>
        <w:lang w:eastAsia="es-ES"/>
      </w:rPr>
    </w:pPr>
    <w:r w:rsidRPr="0070605C">
      <w:rPr>
        <w:b/>
        <w:bCs/>
        <w:color w:val="000000"/>
        <w:sz w:val="22"/>
        <w:szCs w:val="22"/>
        <w:lang w:eastAsia="es-ES"/>
      </w:rPr>
      <w:t>Mitre 38 -    Chascomús</w:t>
    </w:r>
  </w:p>
  <w:p w:rsidR="0070605C" w:rsidRPr="0070605C" w:rsidRDefault="0070605C" w:rsidP="0070605C">
    <w:pPr>
      <w:ind w:left="170"/>
      <w:jc w:val="center"/>
      <w:rPr>
        <w:b/>
        <w:bCs/>
        <w:color w:val="000000"/>
        <w:sz w:val="22"/>
        <w:szCs w:val="22"/>
        <w:lang w:eastAsia="es-ES"/>
      </w:rPr>
    </w:pPr>
    <w:r w:rsidRPr="0070605C">
      <w:rPr>
        <w:b/>
        <w:bCs/>
        <w:color w:val="000000"/>
        <w:sz w:val="22"/>
        <w:szCs w:val="22"/>
        <w:lang w:eastAsia="es-ES"/>
      </w:rPr>
      <w:t>Bloques POTENCIA - GEN</w:t>
    </w:r>
  </w:p>
  <w:p w:rsidR="0070605C" w:rsidRPr="0070605C" w:rsidRDefault="0070605C" w:rsidP="0070605C">
    <w:pPr>
      <w:ind w:left="170"/>
      <w:jc w:val="center"/>
      <w:rPr>
        <w:b/>
        <w:lang w:val="es-ES_tradnl" w:eastAsia="en-US"/>
      </w:rPr>
    </w:pPr>
    <w:r w:rsidRPr="0070605C">
      <w:rPr>
        <w:b/>
        <w:bCs/>
        <w:color w:val="000000"/>
        <w:sz w:val="22"/>
        <w:szCs w:val="22"/>
        <w:lang w:eastAsia="es-ES"/>
      </w:rPr>
      <w:t>“</w:t>
    </w:r>
    <w:r w:rsidRPr="0070605C">
      <w:rPr>
        <w:rFonts w:eastAsia="Calibri"/>
        <w:b/>
        <w:sz w:val="22"/>
        <w:szCs w:val="22"/>
        <w:lang w:val="es-ES" w:eastAsia="en-US"/>
      </w:rPr>
      <w:t>2026: Año del 200° Aniversario de la Escuela Primaria N° 1 “Bernardino Rivadavia”</w:t>
    </w:r>
  </w:p>
  <w:p w:rsidR="0070605C" w:rsidRPr="0070605C" w:rsidRDefault="0070605C" w:rsidP="0070605C">
    <w:pPr>
      <w:jc w:val="center"/>
      <w:rPr>
        <w:b/>
        <w:sz w:val="22"/>
        <w:szCs w:val="22"/>
        <w:lang w:val="es-ES" w:eastAsia="es-ES"/>
      </w:rPr>
    </w:pPr>
  </w:p>
  <w:p w:rsidR="0070605C" w:rsidRPr="0070605C" w:rsidRDefault="0070605C">
    <w:pPr>
      <w:pStyle w:val="Encabezado"/>
      <w:rPr>
        <w:lang w:val="es-ES"/>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FD3921"/>
    <w:multiLevelType w:val="hybridMultilevel"/>
    <w:tmpl w:val="CDE69442"/>
    <w:lvl w:ilvl="0" w:tplc="4512246C">
      <w:start w:val="1"/>
      <w:numFmt w:val="bullet"/>
      <w:lvlText w:val="●"/>
      <w:lvlJc w:val="left"/>
      <w:pPr>
        <w:ind w:left="720" w:hanging="360"/>
      </w:pPr>
    </w:lvl>
    <w:lvl w:ilvl="1" w:tplc="B1463E38">
      <w:start w:val="1"/>
      <w:numFmt w:val="bullet"/>
      <w:lvlText w:val="○"/>
      <w:lvlJc w:val="left"/>
      <w:pPr>
        <w:ind w:left="1440" w:hanging="360"/>
      </w:pPr>
    </w:lvl>
    <w:lvl w:ilvl="2" w:tplc="57F6E0B6">
      <w:start w:val="1"/>
      <w:numFmt w:val="bullet"/>
      <w:lvlText w:val="■"/>
      <w:lvlJc w:val="left"/>
      <w:pPr>
        <w:ind w:left="2160" w:hanging="360"/>
      </w:pPr>
    </w:lvl>
    <w:lvl w:ilvl="3" w:tplc="23F01420">
      <w:start w:val="1"/>
      <w:numFmt w:val="bullet"/>
      <w:lvlText w:val="●"/>
      <w:lvlJc w:val="left"/>
      <w:pPr>
        <w:ind w:left="2880" w:hanging="360"/>
      </w:pPr>
    </w:lvl>
    <w:lvl w:ilvl="4" w:tplc="9460D5BE">
      <w:start w:val="1"/>
      <w:numFmt w:val="bullet"/>
      <w:lvlText w:val="○"/>
      <w:lvlJc w:val="left"/>
      <w:pPr>
        <w:ind w:left="3600" w:hanging="360"/>
      </w:pPr>
    </w:lvl>
    <w:lvl w:ilvl="5" w:tplc="572E1BC0">
      <w:start w:val="1"/>
      <w:numFmt w:val="bullet"/>
      <w:lvlText w:val="■"/>
      <w:lvlJc w:val="left"/>
      <w:pPr>
        <w:ind w:left="4320" w:hanging="360"/>
      </w:pPr>
    </w:lvl>
    <w:lvl w:ilvl="6" w:tplc="05B69A12">
      <w:start w:val="1"/>
      <w:numFmt w:val="bullet"/>
      <w:lvlText w:val="●"/>
      <w:lvlJc w:val="left"/>
      <w:pPr>
        <w:ind w:left="5040" w:hanging="360"/>
      </w:pPr>
    </w:lvl>
    <w:lvl w:ilvl="7" w:tplc="42FE8560">
      <w:start w:val="1"/>
      <w:numFmt w:val="bullet"/>
      <w:lvlText w:val="●"/>
      <w:lvlJc w:val="left"/>
      <w:pPr>
        <w:ind w:left="5760" w:hanging="360"/>
      </w:pPr>
    </w:lvl>
    <w:lvl w:ilvl="8" w:tplc="2F7C1296">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5FB2"/>
    <w:rsid w:val="00471DC8"/>
    <w:rsid w:val="0070605C"/>
    <w:rsid w:val="00BF4945"/>
    <w:rsid w:val="00C35FB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F6C8E"/>
  <w15:docId w15:val="{251DF5A8-3FD2-1743-9FC0-7DD21505B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s-AR" w:eastAsia="es-ES_trad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uiPriority w:val="9"/>
    <w:qFormat/>
    <w:pPr>
      <w:outlineLvl w:val="0"/>
    </w:pPr>
    <w:rPr>
      <w:color w:val="2E74B5"/>
      <w:sz w:val="32"/>
      <w:szCs w:val="32"/>
    </w:rPr>
  </w:style>
  <w:style w:type="paragraph" w:styleId="Ttulo2">
    <w:name w:val="heading 2"/>
    <w:uiPriority w:val="9"/>
    <w:semiHidden/>
    <w:unhideWhenUsed/>
    <w:qFormat/>
    <w:pPr>
      <w:outlineLvl w:val="1"/>
    </w:pPr>
    <w:rPr>
      <w:color w:val="2E74B5"/>
      <w:sz w:val="26"/>
      <w:szCs w:val="26"/>
    </w:rPr>
  </w:style>
  <w:style w:type="paragraph" w:styleId="Ttulo3">
    <w:name w:val="heading 3"/>
    <w:uiPriority w:val="9"/>
    <w:semiHidden/>
    <w:unhideWhenUsed/>
    <w:qFormat/>
    <w:pPr>
      <w:outlineLvl w:val="2"/>
    </w:pPr>
    <w:rPr>
      <w:color w:val="1F4D78"/>
    </w:rPr>
  </w:style>
  <w:style w:type="paragraph" w:styleId="Ttulo4">
    <w:name w:val="heading 4"/>
    <w:uiPriority w:val="9"/>
    <w:semiHidden/>
    <w:unhideWhenUsed/>
    <w:qFormat/>
    <w:pPr>
      <w:outlineLvl w:val="3"/>
    </w:pPr>
    <w:rPr>
      <w:i/>
      <w:iCs/>
      <w:color w:val="2E74B5"/>
    </w:rPr>
  </w:style>
  <w:style w:type="paragraph" w:styleId="Ttulo5">
    <w:name w:val="heading 5"/>
    <w:uiPriority w:val="9"/>
    <w:semiHidden/>
    <w:unhideWhenUsed/>
    <w:qFormat/>
    <w:pPr>
      <w:outlineLvl w:val="4"/>
    </w:pPr>
    <w:rPr>
      <w:color w:val="2E74B5"/>
    </w:rPr>
  </w:style>
  <w:style w:type="paragraph" w:styleId="Ttulo6">
    <w:name w:val="heading 6"/>
    <w:uiPriority w:val="9"/>
    <w:semiHidden/>
    <w:unhideWhenUsed/>
    <w:qFormat/>
    <w:pPr>
      <w:outlineLvl w:val="5"/>
    </w:pPr>
    <w:rPr>
      <w:color w:val="1F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uiPriority w:val="10"/>
    <w:qFormat/>
    <w:rPr>
      <w:sz w:val="56"/>
      <w:szCs w:val="56"/>
    </w:rPr>
  </w:style>
  <w:style w:type="paragraph" w:customStyle="1" w:styleId="Textoennegrita1">
    <w:name w:val="Texto en negrita1"/>
    <w:qFormat/>
    <w:rPr>
      <w:b/>
      <w:bCs/>
    </w:rPr>
  </w:style>
  <w:style w:type="paragraph" w:styleId="Prrafodelista">
    <w:name w:val="List Paragraph"/>
    <w:qFormat/>
  </w:style>
  <w:style w:type="character" w:styleId="Hipervnculo">
    <w:name w:val="Hyperlink"/>
    <w:uiPriority w:val="99"/>
    <w:unhideWhenUsed/>
    <w:rPr>
      <w:color w:val="0563C1"/>
      <w:u w:val="single"/>
    </w:rPr>
  </w:style>
  <w:style w:type="character" w:styleId="Refdenotaalpie">
    <w:name w:val="footnote reference"/>
    <w:uiPriority w:val="99"/>
    <w:semiHidden/>
    <w:unhideWhenUsed/>
    <w:rPr>
      <w:vertAlign w:val="superscript"/>
    </w:rPr>
  </w:style>
  <w:style w:type="paragraph" w:styleId="Textonotapie">
    <w:name w:val="footnote text"/>
    <w:link w:val="TextonotapieCar"/>
    <w:uiPriority w:val="99"/>
    <w:semiHidden/>
    <w:unhideWhenUsed/>
    <w:rPr>
      <w:sz w:val="20"/>
      <w:szCs w:val="20"/>
    </w:rPr>
  </w:style>
  <w:style w:type="character" w:customStyle="1" w:styleId="TextonotapieCar">
    <w:name w:val="Texto nota pie Car"/>
    <w:link w:val="Textonotapie"/>
    <w:uiPriority w:val="99"/>
    <w:semiHidden/>
    <w:unhideWhenUsed/>
    <w:rPr>
      <w:sz w:val="20"/>
      <w:szCs w:val="20"/>
    </w:rPr>
  </w:style>
  <w:style w:type="character" w:styleId="Refdenotaalfinal">
    <w:name w:val="endnote reference"/>
    <w:uiPriority w:val="99"/>
    <w:semiHidden/>
    <w:unhideWhenUsed/>
    <w:rPr>
      <w:vertAlign w:val="superscript"/>
    </w:rPr>
  </w:style>
  <w:style w:type="paragraph" w:styleId="Textonotaalfinal">
    <w:name w:val="endnote text"/>
    <w:link w:val="TextonotaalfinalCar"/>
    <w:uiPriority w:val="99"/>
    <w:semiHidden/>
    <w:unhideWhenUsed/>
    <w:rPr>
      <w:sz w:val="20"/>
      <w:szCs w:val="20"/>
    </w:rPr>
  </w:style>
  <w:style w:type="character" w:customStyle="1" w:styleId="TextonotaalfinalCar">
    <w:name w:val="Texto nota al final Car"/>
    <w:link w:val="Textonotaalfinal"/>
    <w:uiPriority w:val="99"/>
    <w:semiHidden/>
    <w:unhideWhenUsed/>
    <w:rPr>
      <w:sz w:val="20"/>
      <w:szCs w:val="20"/>
    </w:rPr>
  </w:style>
  <w:style w:type="paragraph" w:styleId="Encabezado">
    <w:name w:val="header"/>
    <w:basedOn w:val="Normal"/>
    <w:link w:val="EncabezadoCar"/>
    <w:uiPriority w:val="99"/>
    <w:unhideWhenUsed/>
    <w:rsid w:val="0070605C"/>
    <w:pPr>
      <w:tabs>
        <w:tab w:val="center" w:pos="4419"/>
        <w:tab w:val="right" w:pos="8838"/>
      </w:tabs>
    </w:pPr>
  </w:style>
  <w:style w:type="character" w:customStyle="1" w:styleId="EncabezadoCar">
    <w:name w:val="Encabezado Car"/>
    <w:basedOn w:val="Fuentedeprrafopredeter"/>
    <w:link w:val="Encabezado"/>
    <w:uiPriority w:val="99"/>
    <w:rsid w:val="0070605C"/>
  </w:style>
  <w:style w:type="paragraph" w:styleId="Piedepgina">
    <w:name w:val="footer"/>
    <w:basedOn w:val="Normal"/>
    <w:link w:val="PiedepginaCar"/>
    <w:uiPriority w:val="99"/>
    <w:unhideWhenUsed/>
    <w:rsid w:val="0070605C"/>
    <w:pPr>
      <w:tabs>
        <w:tab w:val="center" w:pos="4419"/>
        <w:tab w:val="right" w:pos="8838"/>
      </w:tabs>
    </w:pPr>
  </w:style>
  <w:style w:type="character" w:customStyle="1" w:styleId="PiedepginaCar">
    <w:name w:val="Pie de página Car"/>
    <w:basedOn w:val="Fuentedeprrafopredeter"/>
    <w:link w:val="Piedepgina"/>
    <w:uiPriority w:val="99"/>
    <w:rsid w:val="007060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3200</Words>
  <Characters>18246</Characters>
  <Application>Microsoft Office Word</Application>
  <DocSecurity>0</DocSecurity>
  <Lines>152</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Delfina</cp:lastModifiedBy>
  <cp:revision>2</cp:revision>
  <dcterms:created xsi:type="dcterms:W3CDTF">2026-08-11T14:41:00Z</dcterms:created>
  <dcterms:modified xsi:type="dcterms:W3CDTF">2026-08-11T14:41:00Z</dcterms:modified>
</cp:coreProperties>
</file>