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C0329" w14:textId="783CBB90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                   </w:t>
      </w:r>
      <w:r w:rsidR="00B863FA">
        <w:rPr>
          <w:rFonts w:ascii="Tahoma" w:eastAsia="Tahoma" w:hAnsi="Tahoma" w:cs="Tahoma"/>
          <w:sz w:val="22"/>
          <w:szCs w:val="22"/>
        </w:rPr>
        <w:tab/>
      </w:r>
      <w:r w:rsidR="00B863FA"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Chascomús, </w:t>
      </w:r>
      <w:r w:rsidR="00E3209B">
        <w:rPr>
          <w:rFonts w:ascii="Tahoma" w:eastAsia="Tahoma" w:hAnsi="Tahoma" w:cs="Tahoma"/>
          <w:sz w:val="22"/>
          <w:szCs w:val="22"/>
        </w:rPr>
        <w:t>10</w:t>
      </w:r>
      <w:r w:rsidR="00D87154">
        <w:rPr>
          <w:rFonts w:ascii="Tahoma" w:eastAsia="Tahoma" w:hAnsi="Tahoma" w:cs="Tahoma"/>
          <w:sz w:val="22"/>
          <w:szCs w:val="22"/>
        </w:rPr>
        <w:t xml:space="preserve"> de agost</w:t>
      </w:r>
      <w:r>
        <w:rPr>
          <w:rFonts w:ascii="Tahoma" w:eastAsia="Tahoma" w:hAnsi="Tahoma" w:cs="Tahoma"/>
          <w:sz w:val="22"/>
          <w:szCs w:val="22"/>
        </w:rPr>
        <w:t>o de 2026.</w:t>
      </w:r>
    </w:p>
    <w:p w14:paraId="3BC20E8B" w14:textId="79B7306A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Sr. Presidente del</w:t>
      </w:r>
    </w:p>
    <w:p w14:paraId="1EB4AB63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Honorable Concejo Deliberante</w:t>
      </w:r>
    </w:p>
    <w:p w14:paraId="141FB3FC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OSCAR FREDDY TOLEDO BARZOLA</w:t>
      </w:r>
    </w:p>
    <w:p w14:paraId="1F4874CF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S          /           D</w:t>
      </w:r>
    </w:p>
    <w:p w14:paraId="39B5EDC2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36F0D09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De nuestra consideración:</w:t>
      </w:r>
    </w:p>
    <w:p w14:paraId="2653D8C7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Remitimos copia del presente proyecto para ser incluida en el orden del día de la próxima sesión.</w:t>
      </w:r>
    </w:p>
    <w:p w14:paraId="79B02135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74F6E310" w14:textId="4775E0D6" w:rsidR="00BD6729" w:rsidRDefault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E3209B"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Solicitud de informe al Departamento Ejecutivo sobre el marco normativo y la </w:t>
      </w:r>
      <w:proofErr w:type="gramStart"/>
      <w:r w:rsidRPr="00E3209B">
        <w:rPr>
          <w:rFonts w:ascii="Tahoma" w:eastAsia="Tahoma" w:hAnsi="Tahoma" w:cs="Tahoma"/>
          <w:b/>
          <w:bCs/>
          <w:sz w:val="22"/>
          <w:szCs w:val="22"/>
          <w:u w:val="single"/>
        </w:rPr>
        <w:t>fiscalización</w:t>
      </w:r>
      <w:proofErr w:type="gramEnd"/>
      <w:r w:rsidRPr="00E3209B"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 de la venta de animales vivos en comercios del rubro forrajería</w:t>
      </w:r>
      <w:r w:rsidR="00007923">
        <w:rPr>
          <w:rFonts w:ascii="Tahoma" w:eastAsia="Tahoma" w:hAnsi="Tahoma" w:cs="Tahoma"/>
          <w:sz w:val="22"/>
          <w:szCs w:val="22"/>
        </w:rPr>
        <w:t>.</w:t>
      </w:r>
    </w:p>
    <w:p w14:paraId="3E71E3E9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3241284E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VISTO</w:t>
      </w:r>
    </w:p>
    <w:p w14:paraId="08B3F6D4" w14:textId="584550C3" w:rsidR="00BD6729" w:rsidRDefault="00E3209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E3209B">
        <w:rPr>
          <w:rFonts w:ascii="Tahoma" w:eastAsia="Tahoma" w:hAnsi="Tahoma" w:cs="Tahoma"/>
          <w:color w:val="000000"/>
          <w:sz w:val="22"/>
          <w:szCs w:val="22"/>
        </w:rPr>
        <w:t>La constante actividad comercial orientada al rubro de forrajerías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y pet shops </w:t>
      </w:r>
      <w:r w:rsidRPr="00E3209B">
        <w:rPr>
          <w:rFonts w:ascii="Tahoma" w:eastAsia="Tahoma" w:hAnsi="Tahoma" w:cs="Tahoma"/>
          <w:color w:val="000000"/>
          <w:sz w:val="22"/>
          <w:szCs w:val="22"/>
        </w:rPr>
        <w:t>y la necesidad de precisar el marco normativo local en materia de comercialización, exhibición y bienestar de aves vivas; y</w:t>
      </w:r>
    </w:p>
    <w:p w14:paraId="7B10E938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>CONSIDERANDO:</w:t>
      </w:r>
    </w:p>
    <w:p w14:paraId="613D33DE" w14:textId="38CE134A" w:rsidR="00293BA2" w:rsidRPr="00293BA2" w:rsidRDefault="00E3209B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E3209B">
        <w:rPr>
          <w:rFonts w:ascii="Tahoma" w:eastAsia="Tahoma" w:hAnsi="Tahoma" w:cs="Tahoma"/>
          <w:color w:val="000000"/>
          <w:sz w:val="22"/>
          <w:szCs w:val="22"/>
        </w:rPr>
        <w:t>Que es facultad de este Honorable Concejo Deliberante requerir información fehaciente al Departamento Ejecutivo sobre la aplicación de las ordenanzas vigentes y los controles que efectúan las áreas de i</w:t>
      </w:r>
      <w:r>
        <w:rPr>
          <w:rFonts w:ascii="Tahoma" w:eastAsia="Tahoma" w:hAnsi="Tahoma" w:cs="Tahoma"/>
          <w:color w:val="000000"/>
          <w:sz w:val="22"/>
          <w:szCs w:val="22"/>
        </w:rPr>
        <w:t>nspección y contralor municipal</w:t>
      </w:r>
      <w:r w:rsidR="00293BA2" w:rsidRPr="00293BA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03FBB2C1" w14:textId="52B69084" w:rsidR="00293BA2" w:rsidRPr="00293BA2" w:rsidRDefault="00E3209B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E3209B">
        <w:rPr>
          <w:rFonts w:ascii="Tahoma" w:eastAsia="Tahoma" w:hAnsi="Tahoma" w:cs="Tahoma"/>
          <w:color w:val="000000"/>
          <w:sz w:val="22"/>
          <w:szCs w:val="22"/>
        </w:rPr>
        <w:t xml:space="preserve">Que la comercialización de animales vivos en locales comerciales no puede estar supeditada a habilitaciones comerciales genéricas de venta de alimentos o forrajes, requiriendo rubros específicos, protocolos de salubridad </w:t>
      </w:r>
      <w:r>
        <w:rPr>
          <w:rFonts w:ascii="Tahoma" w:eastAsia="Tahoma" w:hAnsi="Tahoma" w:cs="Tahoma"/>
          <w:color w:val="000000"/>
          <w:sz w:val="22"/>
          <w:szCs w:val="22"/>
        </w:rPr>
        <w:t>y condiciones edilicias acordes</w:t>
      </w:r>
      <w:r w:rsidR="00293BA2" w:rsidRPr="00293BA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60554BC1" w14:textId="62B0F0C3" w:rsidR="00E3209B" w:rsidRDefault="004E4CA6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4E4CA6">
        <w:rPr>
          <w:rFonts w:ascii="Tahoma" w:eastAsia="Tahoma" w:hAnsi="Tahoma" w:cs="Tahoma"/>
          <w:color w:val="000000"/>
          <w:sz w:val="22"/>
          <w:szCs w:val="22"/>
        </w:rPr>
        <w:t xml:space="preserve">Que la legislación provincial de fauna (Decreto-Ley N.º 10.081/83 - Código Rural de la Provincia de Buenos Aires) prohíbe taxativamente la tenencia, acopio y comercialización de aves de la </w:t>
      </w:r>
      <w:r w:rsidRPr="004E4CA6">
        <w:rPr>
          <w:rFonts w:ascii="Tahoma" w:eastAsia="Tahoma" w:hAnsi="Tahoma" w:cs="Tahoma"/>
          <w:color w:val="000000"/>
          <w:sz w:val="22"/>
          <w:szCs w:val="22"/>
        </w:rPr>
        <w:lastRenderedPageBreak/>
        <w:t>fauna silvestre autóctona, siendo indispensable articular controles para s</w:t>
      </w:r>
      <w:r>
        <w:rPr>
          <w:rFonts w:ascii="Tahoma" w:eastAsia="Tahoma" w:hAnsi="Tahoma" w:cs="Tahoma"/>
          <w:color w:val="000000"/>
          <w:sz w:val="22"/>
          <w:szCs w:val="22"/>
        </w:rPr>
        <w:t>u prevención y eventual sanción</w:t>
      </w:r>
      <w:bookmarkStart w:id="0" w:name="_GoBack"/>
      <w:bookmarkEnd w:id="0"/>
      <w:r w:rsidR="00E3209B" w:rsidRPr="00E3209B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43DBB6EA" w14:textId="4697EC3B" w:rsidR="00CE6DE2" w:rsidRDefault="00E3209B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E3209B">
        <w:rPr>
          <w:rFonts w:ascii="Tahoma" w:eastAsia="Tahoma" w:hAnsi="Tahoma" w:cs="Tahoma"/>
          <w:color w:val="000000"/>
          <w:sz w:val="22"/>
          <w:szCs w:val="22"/>
        </w:rPr>
        <w:t>Que respecto a las aves de corral, domésticas o de criadero ornamental, se exige la trazabilidad, guías sanitarias correspondientes (SENASA) y el cumplimiento estricto de pautas de bienestar animal para evitar e</w:t>
      </w:r>
      <w:r>
        <w:rPr>
          <w:rFonts w:ascii="Tahoma" w:eastAsia="Tahoma" w:hAnsi="Tahoma" w:cs="Tahoma"/>
          <w:color w:val="000000"/>
          <w:sz w:val="22"/>
          <w:szCs w:val="22"/>
        </w:rPr>
        <w:t>l hacinamiento y tratos crueles</w:t>
      </w:r>
      <w:r w:rsidR="00CE6DE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4D4E6B53" w14:textId="2105E8B3" w:rsidR="00E3209B" w:rsidRDefault="00E3209B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E3209B">
        <w:rPr>
          <w:rFonts w:ascii="Tahoma" w:eastAsia="Tahoma" w:hAnsi="Tahoma" w:cs="Tahoma"/>
          <w:color w:val="000000"/>
          <w:sz w:val="22"/>
          <w:szCs w:val="22"/>
        </w:rPr>
        <w:t>Que resulta necesario clarificar las competencias y acciones de fiscalización que se llevan adelante desde la Municipalidad de Chascomús para garantizar tanto el cumplimiento del ordenamiento comercial local como la protección animal y ambiental.</w:t>
      </w:r>
    </w:p>
    <w:p w14:paraId="36857281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Por ello, </w:t>
      </w: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los Bloques POTENCIA, y GEN </w:t>
      </w:r>
      <w:r>
        <w:rPr>
          <w:rFonts w:ascii="Tahoma" w:eastAsia="Tahoma" w:hAnsi="Tahoma" w:cs="Tahoma"/>
          <w:color w:val="000000"/>
          <w:sz w:val="22"/>
          <w:szCs w:val="22"/>
        </w:rPr>
        <w:t>en atribución a sus facultades que le confiere la Ley Orgánica de las Municipalidades, proponen el siguiente:</w:t>
      </w:r>
    </w:p>
    <w:p w14:paraId="388680CD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B080C52" w14:textId="7E871010" w:rsidR="00BD6729" w:rsidRDefault="00007923">
      <w:pPr>
        <w:spacing w:line="360" w:lineRule="auto"/>
        <w:jc w:val="center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PROYECTO DE </w:t>
      </w:r>
      <w:r w:rsidR="00E3209B">
        <w:rPr>
          <w:rFonts w:ascii="Tahoma" w:eastAsia="Tahoma" w:hAnsi="Tahoma" w:cs="Tahoma"/>
          <w:b/>
          <w:bCs/>
          <w:sz w:val="22"/>
          <w:szCs w:val="22"/>
          <w:u w:val="single"/>
        </w:rPr>
        <w:t>COMUNICACIÓN</w:t>
      </w:r>
    </w:p>
    <w:p w14:paraId="46F2C5A1" w14:textId="2035B8D7" w:rsidR="00E3209B" w:rsidRPr="00E3209B" w:rsidRDefault="00007923" w:rsidP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1°: </w:t>
      </w:r>
      <w:r w:rsidR="00E3209B" w:rsidRPr="00E3209B">
        <w:rPr>
          <w:rFonts w:ascii="Tahoma" w:eastAsia="Tahoma" w:hAnsi="Tahoma" w:cs="Tahoma"/>
          <w:sz w:val="22"/>
          <w:szCs w:val="22"/>
        </w:rPr>
        <w:t>Solicítase al Departamento Ejecutivo Municipal que, a través de las áreas competentes</w:t>
      </w:r>
      <w:r w:rsidR="00E3209B">
        <w:rPr>
          <w:rFonts w:ascii="Tahoma" w:eastAsia="Tahoma" w:hAnsi="Tahoma" w:cs="Tahoma"/>
          <w:sz w:val="22"/>
          <w:szCs w:val="22"/>
        </w:rPr>
        <w:t>,</w:t>
      </w:r>
      <w:r w:rsidR="00E3209B" w:rsidRPr="00E3209B">
        <w:rPr>
          <w:rFonts w:ascii="Tahoma" w:eastAsia="Tahoma" w:hAnsi="Tahoma" w:cs="Tahoma"/>
          <w:sz w:val="22"/>
          <w:szCs w:val="22"/>
        </w:rPr>
        <w:t xml:space="preserve"> informe a este Cuerpo en un plazo de quince (</w:t>
      </w:r>
      <w:r w:rsidR="00E3209B">
        <w:rPr>
          <w:rFonts w:ascii="Tahoma" w:eastAsia="Tahoma" w:hAnsi="Tahoma" w:cs="Tahoma"/>
          <w:sz w:val="22"/>
          <w:szCs w:val="22"/>
        </w:rPr>
        <w:t>1</w:t>
      </w:r>
      <w:r w:rsidR="00E3209B" w:rsidRPr="00E3209B">
        <w:rPr>
          <w:rFonts w:ascii="Tahoma" w:eastAsia="Tahoma" w:hAnsi="Tahoma" w:cs="Tahoma"/>
          <w:sz w:val="22"/>
          <w:szCs w:val="22"/>
        </w:rPr>
        <w:t>5) días sobre los siguientes puntos:</w:t>
      </w:r>
    </w:p>
    <w:p w14:paraId="6A948182" w14:textId="77777777" w:rsidR="00E3209B" w:rsidRPr="00E3209B" w:rsidRDefault="00E3209B" w:rsidP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E3209B">
        <w:rPr>
          <w:rFonts w:ascii="Tahoma" w:eastAsia="Tahoma" w:hAnsi="Tahoma" w:cs="Tahoma"/>
          <w:sz w:val="22"/>
          <w:szCs w:val="22"/>
        </w:rPr>
        <w:t>a) Habilitaciones y Rubros: Si el rubro de habilitación comercial para "Forrajería" o "Venta de Alimentos para Animales" faculta por sí solo a la exhibición y venta de aves vivas, o si se requiere un anexo comercial específico y fiscalización sanitaria previa.</w:t>
      </w:r>
    </w:p>
    <w:p w14:paraId="5E395821" w14:textId="77777777" w:rsidR="00E3209B" w:rsidRPr="00E3209B" w:rsidRDefault="00E3209B" w:rsidP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E3209B">
        <w:rPr>
          <w:rFonts w:ascii="Tahoma" w:eastAsia="Tahoma" w:hAnsi="Tahoma" w:cs="Tahoma"/>
          <w:sz w:val="22"/>
          <w:szCs w:val="22"/>
        </w:rPr>
        <w:t>b) Controles e Inspecciones: Cuántas inspecciones a establecimientos de este rubro se han llevado a cabo durante el presente año y cuál es el protocolo de verificación respecto al bienestar animal (espacio, higiene, ventilación) y tenencia legal de las aves.</w:t>
      </w:r>
    </w:p>
    <w:p w14:paraId="58F6C626" w14:textId="77777777" w:rsidR="00E3209B" w:rsidRPr="00E3209B" w:rsidRDefault="00E3209B" w:rsidP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E3209B">
        <w:rPr>
          <w:rFonts w:ascii="Tahoma" w:eastAsia="Tahoma" w:hAnsi="Tahoma" w:cs="Tahoma"/>
          <w:sz w:val="22"/>
          <w:szCs w:val="22"/>
        </w:rPr>
        <w:t>c) Protección de Fauna Silvestre: Cuáles son las medidas preventivas y canales de articulación con la Dirección Provincial de Flora y Fauna de la Provincia de Buenos Aires ante eventuales hallazgos o denuncias por comercialización de aves autóctonas no autorizadas.</w:t>
      </w:r>
    </w:p>
    <w:p w14:paraId="1ECD6315" w14:textId="0E1C89AF" w:rsidR="00BD6729" w:rsidRDefault="00E3209B" w:rsidP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E3209B">
        <w:rPr>
          <w:rFonts w:ascii="Tahoma" w:eastAsia="Tahoma" w:hAnsi="Tahoma" w:cs="Tahoma"/>
          <w:sz w:val="22"/>
          <w:szCs w:val="22"/>
        </w:rPr>
        <w:lastRenderedPageBreak/>
        <w:t>d) Exigencias Sanitarias: Exigencias de documentación o certificados sanitarios de origen/tránsito que se les solicita a los comercios que expenden aves de corral o de cría.</w:t>
      </w:r>
    </w:p>
    <w:p w14:paraId="73B2C0A0" w14:textId="44CEEA9E" w:rsidR="00BD6729" w:rsidRPr="00E3209B" w:rsidRDefault="00007923" w:rsidP="00E3209B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2°: </w:t>
      </w:r>
      <w:r w:rsidR="00E3209B">
        <w:rPr>
          <w:rFonts w:ascii="Tahoma" w:eastAsia="Tahoma" w:hAnsi="Tahoma" w:cs="Tahoma"/>
          <w:sz w:val="22"/>
          <w:szCs w:val="22"/>
        </w:rPr>
        <w:t>De forma</w:t>
      </w:r>
      <w:r>
        <w:rPr>
          <w:rFonts w:ascii="Tahoma" w:eastAsia="Tahoma" w:hAnsi="Tahoma" w:cs="Tahoma"/>
          <w:sz w:val="22"/>
          <w:szCs w:val="22"/>
        </w:rPr>
        <w:t>.</w:t>
      </w:r>
    </w:p>
    <w:sectPr w:rsidR="00BD6729" w:rsidRPr="00E3209B">
      <w:headerReference w:type="even" r:id="rId7"/>
      <w:headerReference w:type="default" r:id="rId8"/>
      <w:footerReference w:type="even" r:id="rId9"/>
      <w:footerReference w:type="default" r:id="rId10"/>
      <w:pgSz w:w="11907" w:h="16839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81E9E" w14:textId="77777777" w:rsidR="002133D8" w:rsidRDefault="002133D8">
      <w:r>
        <w:separator/>
      </w:r>
    </w:p>
  </w:endnote>
  <w:endnote w:type="continuationSeparator" w:id="0">
    <w:p w14:paraId="264435EF" w14:textId="77777777" w:rsidR="002133D8" w:rsidRDefault="0021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0755C35-B83C-4578-9A6E-BFAC2BA22A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E91E7EC8-0473-4700-BCB3-6B92B43EA6A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A00A51A-D8D6-45B6-9F77-3471B7968024}"/>
    <w:embedBold r:id="rId4" w:fontKey="{EDE1EE4B-540E-44EE-A8B3-6469165DF33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5615AEB4-E603-4189-BEFA-7C43A40FB5E2}"/>
    <w:embedBoldItalic r:id="rId6" w:fontKey="{A80F16BF-C3D2-4B6D-AD94-CB24F1237F1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7C91C29D-DF5F-4AAD-B041-F7245B4AF74D}"/>
  </w:font>
  <w:font w:name="Gentium Bas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C57AC3D-966A-48FD-A7F5-7F31742531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454839F-A7E0-4F2F-AAD4-8336B43087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CE3C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14906A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E780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E4CA6">
      <w:rPr>
        <w:noProof/>
        <w:color w:val="000000"/>
      </w:rPr>
      <w:t>3</w:t>
    </w:r>
    <w:r>
      <w:rPr>
        <w:color w:val="000000"/>
      </w:rPr>
      <w:fldChar w:fldCharType="end"/>
    </w:r>
  </w:p>
  <w:p w14:paraId="1E52C8C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F4EEB" w14:textId="77777777" w:rsidR="002133D8" w:rsidRDefault="002133D8">
      <w:r>
        <w:separator/>
      </w:r>
    </w:p>
  </w:footnote>
  <w:footnote w:type="continuationSeparator" w:id="0">
    <w:p w14:paraId="1E79DF28" w14:textId="77777777" w:rsidR="002133D8" w:rsidRDefault="00213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DDF30" w14:textId="77777777" w:rsidR="00BD6729" w:rsidRDefault="00007923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s-AR"/>
      </w:rPr>
      <w:drawing>
        <wp:inline distT="0" distB="0" distL="0" distR="0" wp14:anchorId="0F4B0122" wp14:editId="4B772023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D801D7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Honorable Concejo Deliberante</w:t>
    </w:r>
  </w:p>
  <w:p w14:paraId="44CB60EF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Mitre 38    -    Chascomús</w:t>
    </w:r>
  </w:p>
  <w:p w14:paraId="495283C5" w14:textId="77777777" w:rsidR="00BD6729" w:rsidRDefault="00007923">
    <w:pPr>
      <w:jc w:val="center"/>
      <w:rPr>
        <w:rFonts w:ascii="Arial Black" w:eastAsia="Arial Black" w:hAnsi="Arial Black" w:cs="Arial Black"/>
        <w:sz w:val="22"/>
        <w:szCs w:val="22"/>
      </w:rPr>
    </w:pPr>
    <w:r>
      <w:rPr>
        <w:rFonts w:ascii="Arial Black" w:eastAsia="Arial Black" w:hAnsi="Arial Black" w:cs="Arial Black"/>
        <w:sz w:val="22"/>
        <w:szCs w:val="22"/>
      </w:rPr>
      <w:t>BLOQUE UCR Y CAMBIEMOS CHASCOMUS</w:t>
    </w:r>
  </w:p>
  <w:p w14:paraId="7D95F953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bCs/>
        <w:color w:val="000000"/>
      </w:rPr>
    </w:pPr>
    <w:r>
      <w:rPr>
        <w:b/>
        <w:bCs/>
        <w:color w:val="000000"/>
      </w:rPr>
      <w:t>“Año 2022 Las Malvinas son Argentinas. 40 años, Soberanía, Homenaje y Respeto”</w:t>
    </w:r>
  </w:p>
  <w:p w14:paraId="7D8AE06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7637C" w14:textId="77777777" w:rsidR="00BD6729" w:rsidRDefault="00007923">
    <w:pPr>
      <w:ind w:left="170"/>
      <w:jc w:val="center"/>
      <w:rPr>
        <w:rFonts w:ascii="Gentium Basic" w:eastAsia="Gentium Basic" w:hAnsi="Gentium Basic" w:cs="Gentium Basic"/>
        <w:color w:val="000000"/>
        <w:sz w:val="20"/>
        <w:szCs w:val="20"/>
      </w:rPr>
    </w:pPr>
    <w:r>
      <w:rPr>
        <w:rFonts w:ascii="Gentium Basic" w:eastAsia="Gentium Basic" w:hAnsi="Gentium Basic" w:cs="Gentium Basic"/>
        <w:noProof/>
        <w:color w:val="000000"/>
        <w:sz w:val="20"/>
        <w:szCs w:val="20"/>
        <w:lang w:eastAsia="es-AR"/>
      </w:rPr>
      <w:drawing>
        <wp:inline distT="0" distB="0" distL="0" distR="0" wp14:anchorId="3418ADB1" wp14:editId="31CC2403">
          <wp:extent cx="695325" cy="600075"/>
          <wp:effectExtent l="0" t="0" r="0" b="0"/>
          <wp:docPr id="2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B06AC2" w14:textId="77777777" w:rsidR="00BD6729" w:rsidRDefault="00007923">
    <w:pPr>
      <w:keepNext/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Honorable Concejo Deliberante</w:t>
    </w:r>
  </w:p>
  <w:p w14:paraId="1DFC5EBC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Mitre 38 -    Chascomús</w:t>
    </w:r>
  </w:p>
  <w:p w14:paraId="75CB05FF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Bloques POTENCIA - GEN</w:t>
    </w:r>
  </w:p>
  <w:p w14:paraId="08B1EE38" w14:textId="77777777" w:rsidR="00BD6729" w:rsidRDefault="00007923">
    <w:pPr>
      <w:ind w:left="170"/>
      <w:jc w:val="center"/>
      <w:rPr>
        <w:b/>
        <w:bCs/>
      </w:rPr>
    </w:pPr>
    <w:r>
      <w:rPr>
        <w:b/>
        <w:bCs/>
        <w:color w:val="000000"/>
        <w:sz w:val="22"/>
        <w:szCs w:val="22"/>
      </w:rPr>
      <w:t>“</w:t>
    </w:r>
    <w:r>
      <w:rPr>
        <w:b/>
        <w:bCs/>
        <w:sz w:val="22"/>
        <w:szCs w:val="22"/>
      </w:rPr>
      <w:t>2026: Año del 200° Aniversario de la Escuela Primaria N° 1 “Bernardino Rivadavia”</w:t>
    </w:r>
  </w:p>
  <w:p w14:paraId="2D0C8115" w14:textId="77777777" w:rsidR="00BD6729" w:rsidRDefault="00BD6729">
    <w:pPr>
      <w:jc w:val="center"/>
      <w:rPr>
        <w:b/>
        <w:bCs/>
        <w:sz w:val="22"/>
        <w:szCs w:val="22"/>
      </w:rPr>
    </w:pPr>
  </w:p>
  <w:p w14:paraId="53C0D8F2" w14:textId="77777777" w:rsidR="00BD6729" w:rsidRDefault="00BD6729">
    <w:pPr>
      <w:jc w:val="center"/>
      <w:rPr>
        <w:rFonts w:ascii="Garamond" w:eastAsia="Garamond" w:hAnsi="Garamond" w:cs="Garamond"/>
        <w:b/>
        <w:bCs/>
        <w:i/>
        <w:i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29"/>
    <w:rsid w:val="00007923"/>
    <w:rsid w:val="001945FC"/>
    <w:rsid w:val="002133D8"/>
    <w:rsid w:val="00293BA2"/>
    <w:rsid w:val="004E4CA6"/>
    <w:rsid w:val="00966070"/>
    <w:rsid w:val="00B863FA"/>
    <w:rsid w:val="00BD6729"/>
    <w:rsid w:val="00C740B3"/>
    <w:rsid w:val="00CE6DE2"/>
    <w:rsid w:val="00D87154"/>
    <w:rsid w:val="00E3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58FA"/>
  <w15:docId w15:val="{BD172B06-B021-48FB-95D7-069BF12B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1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ZNkZu+W+p5cRNssuGfXp3iG8g==">CgMxLjA4AHIhMWNOWmNfcDlhb0RQWEpRc2FhblE5N2JwWUROclJQdUZL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cp:lastPrinted>2026-08-03T14:47:00Z</cp:lastPrinted>
  <dcterms:created xsi:type="dcterms:W3CDTF">2026-08-10T14:04:00Z</dcterms:created>
  <dcterms:modified xsi:type="dcterms:W3CDTF">2026-08-11T15:26:00Z</dcterms:modified>
</cp:coreProperties>
</file>