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72F" w:rsidRPr="00AB343C" w:rsidRDefault="006A7DFD" w:rsidP="00AB343C">
      <w:pPr>
        <w:spacing w:after="300" w:line="360" w:lineRule="auto"/>
        <w:jc w:val="right"/>
        <w:rPr>
          <w:sz w:val="22"/>
          <w:szCs w:val="22"/>
        </w:rPr>
      </w:pPr>
      <w:r w:rsidRPr="00AB343C">
        <w:rPr>
          <w:rFonts w:eastAsia="Arial"/>
          <w:sz w:val="22"/>
          <w:szCs w:val="22"/>
        </w:rPr>
        <w:t>Chascomús, 11 de agosto de 2026.</w:t>
      </w:r>
    </w:p>
    <w:p w:rsidR="0066572F" w:rsidRPr="00AB343C" w:rsidRDefault="006A7DFD" w:rsidP="00AB343C">
      <w:pPr>
        <w:spacing w:line="360" w:lineRule="auto"/>
        <w:jc w:val="both"/>
        <w:rPr>
          <w:sz w:val="22"/>
          <w:szCs w:val="22"/>
        </w:rPr>
      </w:pPr>
      <w:r w:rsidRPr="00AB343C">
        <w:rPr>
          <w:rFonts w:eastAsia="Arial"/>
          <w:b/>
          <w:bCs/>
          <w:sz w:val="22"/>
          <w:szCs w:val="22"/>
        </w:rPr>
        <w:t>Sr. Presidente del</w:t>
      </w:r>
    </w:p>
    <w:p w:rsidR="0066572F" w:rsidRPr="00AB343C" w:rsidRDefault="006A7DFD" w:rsidP="00AB343C">
      <w:pPr>
        <w:spacing w:line="360" w:lineRule="auto"/>
        <w:jc w:val="both"/>
        <w:rPr>
          <w:sz w:val="22"/>
          <w:szCs w:val="22"/>
        </w:rPr>
      </w:pPr>
      <w:r w:rsidRPr="00AB343C">
        <w:rPr>
          <w:rFonts w:eastAsia="Arial"/>
          <w:b/>
          <w:bCs/>
          <w:sz w:val="22"/>
          <w:szCs w:val="22"/>
        </w:rPr>
        <w:t>Honorable Concejo Deliberante</w:t>
      </w:r>
    </w:p>
    <w:p w:rsidR="0066572F" w:rsidRPr="00AB343C" w:rsidRDefault="006A7DFD" w:rsidP="00AB343C">
      <w:pPr>
        <w:spacing w:line="360" w:lineRule="auto"/>
        <w:jc w:val="both"/>
        <w:rPr>
          <w:sz w:val="22"/>
          <w:szCs w:val="22"/>
        </w:rPr>
      </w:pPr>
      <w:r w:rsidRPr="00AB343C">
        <w:rPr>
          <w:rFonts w:eastAsia="Arial"/>
          <w:b/>
          <w:bCs/>
          <w:sz w:val="22"/>
          <w:szCs w:val="22"/>
        </w:rPr>
        <w:t>Oscar Toledo Barzola</w:t>
      </w:r>
    </w:p>
    <w:p w:rsidR="0066572F" w:rsidRPr="00AB343C" w:rsidRDefault="006A7DFD" w:rsidP="00AB343C">
      <w:pPr>
        <w:spacing w:after="240" w:line="360" w:lineRule="auto"/>
        <w:jc w:val="both"/>
        <w:rPr>
          <w:sz w:val="22"/>
          <w:szCs w:val="22"/>
        </w:rPr>
      </w:pPr>
      <w:r w:rsidRPr="00AB343C">
        <w:rPr>
          <w:rFonts w:eastAsia="Arial"/>
          <w:b/>
          <w:bCs/>
          <w:sz w:val="22"/>
          <w:szCs w:val="22"/>
        </w:rPr>
        <w:t>S/D:</w:t>
      </w:r>
    </w:p>
    <w:p w:rsidR="0066572F" w:rsidRPr="00AB343C" w:rsidRDefault="006A7DFD" w:rsidP="00AB343C">
      <w:pPr>
        <w:spacing w:after="160" w:line="360" w:lineRule="auto"/>
        <w:jc w:val="both"/>
        <w:rPr>
          <w:sz w:val="22"/>
          <w:szCs w:val="22"/>
        </w:rPr>
      </w:pPr>
      <w:r w:rsidRPr="00AB343C">
        <w:rPr>
          <w:rFonts w:eastAsia="Arial"/>
          <w:sz w:val="22"/>
          <w:szCs w:val="22"/>
        </w:rPr>
        <w:t>De nuestra consideración:</w:t>
      </w:r>
    </w:p>
    <w:p w:rsidR="0066572F" w:rsidRPr="00AB343C" w:rsidRDefault="006A7DFD" w:rsidP="00AB343C">
      <w:pPr>
        <w:spacing w:after="300" w:line="360" w:lineRule="auto"/>
        <w:jc w:val="both"/>
        <w:rPr>
          <w:sz w:val="22"/>
          <w:szCs w:val="22"/>
        </w:rPr>
      </w:pPr>
      <w:r w:rsidRPr="00AB343C">
        <w:rPr>
          <w:rFonts w:eastAsia="Arial"/>
          <w:sz w:val="22"/>
          <w:szCs w:val="22"/>
        </w:rPr>
        <w:t>Remitimos copia del presente proyecto para ser incluida en el orden del día de la próxima sesión.</w:t>
      </w:r>
    </w:p>
    <w:p w:rsidR="0066572F" w:rsidRPr="00AB343C" w:rsidRDefault="006A7DFD" w:rsidP="00AB343C">
      <w:pPr>
        <w:spacing w:after="300" w:line="360" w:lineRule="auto"/>
        <w:jc w:val="center"/>
        <w:rPr>
          <w:sz w:val="22"/>
          <w:szCs w:val="22"/>
        </w:rPr>
      </w:pPr>
      <w:r w:rsidRPr="00AB343C">
        <w:rPr>
          <w:rFonts w:eastAsia="Arial"/>
          <w:b/>
          <w:bCs/>
          <w:sz w:val="22"/>
          <w:szCs w:val="22"/>
          <w:u w:val="single"/>
        </w:rPr>
        <w:t>SOLICITA MEDIDAS ADOPTADAS PARA MORIGERAR EL ENDEUDAMIENTO DE LOS TRABAJADORES MUNICIPALES, ESTADO DEL SISTEMA DE CÓDIGOS DE DESCUENTO SOBRE HABERES, SITUACIÓN SALARIAL DE LA PLANTA MUNICIPAL Y CONVOCATORIA A NEGOCIACIÓN COLECTIVA CON UNA PAUTA DE RECUPERACIÓN DEL SALARIO REAL. -</w:t>
      </w:r>
    </w:p>
    <w:p w:rsidR="0066572F" w:rsidRPr="00AB343C" w:rsidRDefault="006A7DFD" w:rsidP="00AB343C">
      <w:pPr>
        <w:spacing w:after="120" w:line="360" w:lineRule="auto"/>
        <w:jc w:val="both"/>
        <w:rPr>
          <w:sz w:val="22"/>
          <w:szCs w:val="22"/>
        </w:rPr>
      </w:pPr>
      <w:r w:rsidRPr="00AB343C">
        <w:rPr>
          <w:rFonts w:eastAsia="Arial"/>
          <w:b/>
          <w:bCs/>
          <w:sz w:val="22"/>
          <w:szCs w:val="22"/>
        </w:rPr>
        <w:t>Visto:</w:t>
      </w:r>
    </w:p>
    <w:p w:rsidR="0066572F" w:rsidRPr="00AB343C" w:rsidRDefault="006A7DFD" w:rsidP="00AB343C">
      <w:pPr>
        <w:spacing w:after="240" w:line="360" w:lineRule="auto"/>
        <w:jc w:val="both"/>
        <w:rPr>
          <w:sz w:val="22"/>
          <w:szCs w:val="22"/>
        </w:rPr>
      </w:pPr>
      <w:r w:rsidRPr="00AB343C">
        <w:rPr>
          <w:rFonts w:eastAsia="Arial"/>
          <w:sz w:val="22"/>
          <w:szCs w:val="22"/>
        </w:rPr>
        <w:t>La Ordenanza N.º 3030, que establece el Sistema de Registro Único y Código de Descuento sobre los haberes de la Administración Municipal; el Proyecto de Comunicación presentado por estos Bloques con fecha 12 de mayo de 2026, por el cual se citó al titular del área de Recursos Humanos a reunión plenaria con la documentación respaldatoria de los códigos de descuento aplicados sobre los salarios municipales; la reunión mantenida a raíz de aquel planteo con representantes del Departamento Ejecutivo; y el informe de situación salarial elaborado por este espacio sobre la evolución del sueldo municipal entre diciembre de 2015 y junio de 2026, que se acompaña; y,</w:t>
      </w:r>
    </w:p>
    <w:p w:rsidR="0066572F" w:rsidRPr="00AB343C" w:rsidRDefault="006A7DFD" w:rsidP="00AB343C">
      <w:pPr>
        <w:spacing w:after="120" w:line="360" w:lineRule="auto"/>
        <w:jc w:val="both"/>
        <w:rPr>
          <w:sz w:val="22"/>
          <w:szCs w:val="22"/>
        </w:rPr>
      </w:pPr>
      <w:r w:rsidRPr="00AB343C">
        <w:rPr>
          <w:rFonts w:eastAsia="Arial"/>
          <w:b/>
          <w:bCs/>
          <w:sz w:val="22"/>
          <w:szCs w:val="22"/>
        </w:rPr>
        <w:t>Considerando:</w:t>
      </w:r>
    </w:p>
    <w:p w:rsidR="0066572F" w:rsidRPr="00AB343C" w:rsidRDefault="006A7DFD" w:rsidP="00AB343C">
      <w:pPr>
        <w:spacing w:after="160" w:line="360" w:lineRule="auto"/>
        <w:jc w:val="both"/>
        <w:rPr>
          <w:sz w:val="22"/>
          <w:szCs w:val="22"/>
        </w:rPr>
      </w:pPr>
      <w:r w:rsidRPr="00AB343C">
        <w:rPr>
          <w:rFonts w:eastAsia="Arial"/>
          <w:sz w:val="22"/>
          <w:szCs w:val="22"/>
        </w:rPr>
        <w:t>Que mediante el proyecto citado en el Visto este Cuerpo requirió información precisa y documentación respaldatoria acerca del funcionamiento del Sistema de Registro Único y Código de Descuento, de las entidades beneficiarias de las retenciones, de las adhesiones expresas exigidas por el artículo 6° de la Ordenanza N.º 3030 y de los fundamentos por los cuales se deniegan las solicitudes de baja formuladas por los trabajadores.</w:t>
      </w:r>
    </w:p>
    <w:p w:rsidR="0066572F" w:rsidRPr="00AB343C" w:rsidRDefault="006A7DFD" w:rsidP="00AB343C">
      <w:pPr>
        <w:spacing w:after="160" w:line="360" w:lineRule="auto"/>
        <w:jc w:val="both"/>
        <w:rPr>
          <w:sz w:val="22"/>
          <w:szCs w:val="22"/>
        </w:rPr>
      </w:pPr>
      <w:proofErr w:type="gramStart"/>
      <w:r w:rsidRPr="00AB343C">
        <w:rPr>
          <w:rFonts w:eastAsia="Arial"/>
          <w:sz w:val="22"/>
          <w:szCs w:val="22"/>
        </w:rPr>
        <w:t>Que</w:t>
      </w:r>
      <w:proofErr w:type="gramEnd"/>
      <w:r w:rsidRPr="00AB343C">
        <w:rPr>
          <w:rFonts w:eastAsia="Arial"/>
          <w:sz w:val="22"/>
          <w:szCs w:val="22"/>
        </w:rPr>
        <w:t xml:space="preserve"> si bien aquel planteo derivó en una instancia de diálogo con el Departamento Ejecutivo, a la fecha este Honorable Concejo Deliberante no ha recibido informe escrito alguno ni ha tomado conocimiento formal de </w:t>
      </w:r>
      <w:r w:rsidRPr="00AB343C">
        <w:rPr>
          <w:rFonts w:eastAsia="Arial"/>
          <w:sz w:val="22"/>
          <w:szCs w:val="22"/>
        </w:rPr>
        <w:lastRenderedPageBreak/>
        <w:t>las medidas concretas que se hubieren adoptado para morigerar el estado de endeudamiento de los trabajadores municipales.</w:t>
      </w:r>
    </w:p>
    <w:p w:rsidR="0066572F" w:rsidRPr="00AB343C" w:rsidRDefault="006A7DFD" w:rsidP="00AB343C">
      <w:pPr>
        <w:spacing w:after="160" w:line="360" w:lineRule="auto"/>
        <w:jc w:val="both"/>
        <w:rPr>
          <w:sz w:val="22"/>
          <w:szCs w:val="22"/>
        </w:rPr>
      </w:pPr>
      <w:r w:rsidRPr="00AB343C">
        <w:rPr>
          <w:rFonts w:eastAsia="Arial"/>
          <w:sz w:val="22"/>
          <w:szCs w:val="22"/>
        </w:rPr>
        <w:t>Que el tiempo transcurrido desde aquella reunión, sin comunicación oficial sobre el curso dado a lo tratado, torna imprescindible conocer si las inquietudes planteadas se tradujeron en actos administrativos, en modificaciones del circuito de altas y bajas, en topes de afectación de haberes o en cualquier otra medida de resguardo del salario de los agentes.</w:t>
      </w:r>
    </w:p>
    <w:p w:rsidR="0066572F" w:rsidRPr="00AB343C" w:rsidRDefault="006A7DFD" w:rsidP="00AB343C">
      <w:pPr>
        <w:spacing w:after="160" w:line="360" w:lineRule="auto"/>
        <w:jc w:val="both"/>
        <w:rPr>
          <w:sz w:val="22"/>
          <w:szCs w:val="22"/>
        </w:rPr>
      </w:pPr>
      <w:r w:rsidRPr="00AB343C">
        <w:rPr>
          <w:rFonts w:eastAsia="Arial"/>
          <w:sz w:val="22"/>
          <w:szCs w:val="22"/>
        </w:rPr>
        <w:t>Que el endeudamiento de los trabajadores municipales no constituye un fenómeno aislado ni atribuible a decisiones individuales de consumo, sino que guarda relación directa y verificable con el deterioro sostenido del poder adquisitivo del salario municipal.</w:t>
      </w:r>
    </w:p>
    <w:p w:rsidR="0066572F" w:rsidRPr="00AB343C" w:rsidRDefault="006A7DFD" w:rsidP="00AB343C">
      <w:pPr>
        <w:spacing w:after="160" w:line="360" w:lineRule="auto"/>
        <w:jc w:val="both"/>
        <w:rPr>
          <w:sz w:val="22"/>
          <w:szCs w:val="22"/>
        </w:rPr>
      </w:pPr>
      <w:r w:rsidRPr="00AB343C">
        <w:rPr>
          <w:rFonts w:eastAsia="Arial"/>
          <w:sz w:val="22"/>
          <w:szCs w:val="22"/>
        </w:rPr>
        <w:t>Que, conforme surge del informe que se acompaña, el salario real de un administrativo ingresante de 40 horas equivalía en junio de 2026 al 56,3% del vigente en diciembre de 2015, lo que representa una pérdida acumulada del 43,7% de su poder de compra, medida por el Índice de Precios al Consumidor del INDEC.</w:t>
      </w:r>
    </w:p>
    <w:p w:rsidR="0066572F" w:rsidRPr="00AB343C" w:rsidRDefault="006A7DFD" w:rsidP="00AB343C">
      <w:pPr>
        <w:spacing w:after="160" w:line="360" w:lineRule="auto"/>
        <w:jc w:val="both"/>
        <w:rPr>
          <w:sz w:val="22"/>
          <w:szCs w:val="22"/>
        </w:rPr>
      </w:pPr>
      <w:r w:rsidRPr="00AB343C">
        <w:rPr>
          <w:rFonts w:eastAsia="Arial"/>
          <w:sz w:val="22"/>
          <w:szCs w:val="22"/>
        </w:rPr>
        <w:t>Que, en términos nominales, dicho agente percibe la suma de $ 574.122, cuando para igualar el poder adquisitivo de diciembre de 2015 debería percibir $ 1.019.820, de modo que la brecha asciende a $ 445.698 y la recomposición necesaria para recuperar aquel nivel es del 77,6%.</w:t>
      </w:r>
    </w:p>
    <w:p w:rsidR="0066572F" w:rsidRPr="00AB343C" w:rsidRDefault="006A7DFD" w:rsidP="00AB343C">
      <w:pPr>
        <w:spacing w:after="160" w:line="360" w:lineRule="auto"/>
        <w:jc w:val="both"/>
        <w:rPr>
          <w:sz w:val="22"/>
          <w:szCs w:val="22"/>
        </w:rPr>
      </w:pPr>
      <w:r w:rsidRPr="00AB343C">
        <w:rPr>
          <w:rFonts w:eastAsia="Arial"/>
          <w:sz w:val="22"/>
          <w:szCs w:val="22"/>
        </w:rPr>
        <w:t>Que la última mejora otorgada fue el 7% correspondiente al mes de mayo —en el marco del acuerdo de enero de 2026, que previó un 6% en enero y un 7% en mayo—, contra una inflación acumulada del 16,8% en el primer semestre del corriente año, sin que se hayan dispuesto nuevas recomposiciones desde entonces y encontrándose recién prevista para agosto la revisión del segundo semestre, de manera tal que cada mes que transcurre profundiza la pérdida.</w:t>
      </w:r>
    </w:p>
    <w:p w:rsidR="0066572F" w:rsidRPr="00AB343C" w:rsidRDefault="006A7DFD" w:rsidP="00AB343C">
      <w:pPr>
        <w:spacing w:after="160" w:line="360" w:lineRule="auto"/>
        <w:jc w:val="both"/>
        <w:rPr>
          <w:sz w:val="22"/>
          <w:szCs w:val="22"/>
        </w:rPr>
      </w:pPr>
      <w:r w:rsidRPr="00AB343C">
        <w:rPr>
          <w:rFonts w:eastAsia="Arial"/>
          <w:sz w:val="22"/>
          <w:szCs w:val="22"/>
        </w:rPr>
        <w:t>Que la serie referida fue construida sobre el sueldo nominal del administrativo ingresante de 40 horas deflactado por el IPC INDEC, con base diciembre de 2015 = 100, a partir de los decretos salariales de la Municipalidad de Chascomús publicados en el Sistema de Boletín Oficial Municipal y de las actas de la Mesa Salarial, encontrándose la metodología íntegramente explicitada en el documento anexo.</w:t>
      </w:r>
    </w:p>
    <w:p w:rsidR="0066572F" w:rsidRPr="00AB343C" w:rsidRDefault="006A7DFD" w:rsidP="00AB343C">
      <w:pPr>
        <w:spacing w:after="160" w:line="360" w:lineRule="auto"/>
        <w:jc w:val="both"/>
        <w:rPr>
          <w:sz w:val="22"/>
          <w:szCs w:val="22"/>
        </w:rPr>
      </w:pPr>
      <w:r w:rsidRPr="00AB343C">
        <w:rPr>
          <w:rFonts w:eastAsia="Arial"/>
          <w:sz w:val="22"/>
          <w:szCs w:val="22"/>
        </w:rPr>
        <w:t>Que, en ese contexto, el código de descuento deja de operar como una herramienta de acceso al crédito en condiciones ventajosas y pasa a funcionar, en los hechos, como un mecanismo de refinanciación permanente del salario perdido, con el agravante de que su cobro se encuentra asegurado por el propio Estado Municipal mediante la retención directa sobre el haber.</w:t>
      </w:r>
    </w:p>
    <w:p w:rsidR="0066572F" w:rsidRPr="00AB343C" w:rsidRDefault="006A7DFD" w:rsidP="00AB343C">
      <w:pPr>
        <w:spacing w:after="160" w:line="360" w:lineRule="auto"/>
        <w:jc w:val="both"/>
        <w:rPr>
          <w:sz w:val="22"/>
          <w:szCs w:val="22"/>
        </w:rPr>
      </w:pPr>
      <w:r w:rsidRPr="00AB343C">
        <w:rPr>
          <w:rFonts w:eastAsia="Arial"/>
          <w:sz w:val="22"/>
          <w:szCs w:val="22"/>
        </w:rPr>
        <w:lastRenderedPageBreak/>
        <w:t>Que la afectación de los haberes por conceptos no obligatorios, cuando carece de un tope efectivo y de un control periódico de su cumplimiento, compromete el carácter alimentario del salario y coloca al trabajador en una situación de vulnerabilidad que el Municipio, en su condición de empleador, no puede desatender.</w:t>
      </w:r>
    </w:p>
    <w:p w:rsidR="0066572F" w:rsidRPr="00AB343C" w:rsidRDefault="006A7DFD" w:rsidP="00AB343C">
      <w:pPr>
        <w:spacing w:after="160" w:line="360" w:lineRule="auto"/>
        <w:jc w:val="both"/>
        <w:rPr>
          <w:sz w:val="22"/>
          <w:szCs w:val="22"/>
        </w:rPr>
      </w:pPr>
      <w:r w:rsidRPr="00AB343C">
        <w:rPr>
          <w:rFonts w:eastAsia="Arial"/>
          <w:sz w:val="22"/>
          <w:szCs w:val="22"/>
        </w:rPr>
        <w:t>Que resulta necesario dimensionar la magnitud real del fenómeno con datos ciertos y verificables —cantidad de agentes alcanzados, porcentaje promedio y máximo de afectación del haber, entidades intervinientes, montos retenidos y costo financiero de las operaciones—, dado que sin ese diagnóstico ninguna política de mitigación puede formularse ni evaluarse seriamente.</w:t>
      </w:r>
    </w:p>
    <w:p w:rsidR="0066572F" w:rsidRPr="00AB343C" w:rsidRDefault="006A7DFD" w:rsidP="00AB343C">
      <w:pPr>
        <w:spacing w:after="160" w:line="360" w:lineRule="auto"/>
        <w:jc w:val="both"/>
        <w:rPr>
          <w:sz w:val="22"/>
          <w:szCs w:val="22"/>
        </w:rPr>
      </w:pPr>
      <w:r w:rsidRPr="00AB343C">
        <w:rPr>
          <w:rFonts w:eastAsia="Arial"/>
          <w:sz w:val="22"/>
          <w:szCs w:val="22"/>
        </w:rPr>
        <w:t>Que, sentado lo anterior, ninguna política de mitigación del endeudamiento resulta suficiente si no se ataca su causa estructural, que es la insuficiencia del salario, y que el ámbito natural e ineludible para revertirla es la negociación colectiva, conforme el régimen que rige las relaciones laborales del personal municipal en la Provincia de Buenos Aires establecido por la Ley N.º 14.656.</w:t>
      </w:r>
    </w:p>
    <w:p w:rsidR="0066572F" w:rsidRPr="00AB343C" w:rsidRDefault="006A7DFD" w:rsidP="00AB343C">
      <w:pPr>
        <w:spacing w:after="160" w:line="360" w:lineRule="auto"/>
        <w:jc w:val="both"/>
        <w:rPr>
          <w:sz w:val="22"/>
          <w:szCs w:val="22"/>
        </w:rPr>
      </w:pPr>
      <w:r w:rsidRPr="00AB343C">
        <w:rPr>
          <w:rFonts w:eastAsia="Arial"/>
          <w:sz w:val="22"/>
          <w:szCs w:val="22"/>
        </w:rPr>
        <w:t>Que las recomposiciones acordadas en los últimos ejercicios han seguido —cuando no quedado por detrás de— la evolución del índice de precios, de modo que se limitan a sostener el poder adquisitivo en el nivel deprimido al que ya había caído, consolidando la pérdida acumulada en lugar de revertirla.</w:t>
      </w:r>
    </w:p>
    <w:p w:rsidR="0066572F" w:rsidRPr="00AB343C" w:rsidRDefault="006A7DFD" w:rsidP="00AB343C">
      <w:pPr>
        <w:spacing w:after="160" w:line="360" w:lineRule="auto"/>
        <w:jc w:val="both"/>
        <w:rPr>
          <w:sz w:val="22"/>
          <w:szCs w:val="22"/>
        </w:rPr>
      </w:pPr>
      <w:r w:rsidRPr="00AB343C">
        <w:rPr>
          <w:rFonts w:eastAsia="Arial"/>
          <w:sz w:val="22"/>
          <w:szCs w:val="22"/>
        </w:rPr>
        <w:t>Que, en consecuencia, la instancia de revisión prevista para el segundo semestre no debería agotarse en compensar la inflación del período, sino contemplar una pauta de recuperación efectiva del salario real, con un sendero explícito, cuantificado y con horizonte temporal definido que permita a los trabajadores municipales recobrar progresivamente el nivel de poder adquisitivo del que gozaban en diciembre de 2015.</w:t>
      </w:r>
    </w:p>
    <w:p w:rsidR="0066572F" w:rsidRPr="00AB343C" w:rsidRDefault="006A7DFD" w:rsidP="00AB343C">
      <w:pPr>
        <w:spacing w:after="160" w:line="360" w:lineRule="auto"/>
        <w:jc w:val="both"/>
        <w:rPr>
          <w:sz w:val="22"/>
          <w:szCs w:val="22"/>
        </w:rPr>
      </w:pPr>
      <w:r w:rsidRPr="00AB343C">
        <w:rPr>
          <w:rFonts w:eastAsia="Arial"/>
          <w:sz w:val="22"/>
          <w:szCs w:val="22"/>
        </w:rPr>
        <w:t>Que resulta igualmente necesario incorporar mecanismos de revisión periódica y automática que impidan que el salario vuelva a rezagarse frente a los precios entre un acuerdo y el siguiente, tal como ocurrió entre mayo y agosto del corriente año, lapso en el cual no se otorgó recomposición alguna mientras la inflación continuó su curso.</w:t>
      </w:r>
    </w:p>
    <w:p w:rsidR="0066572F" w:rsidRPr="00AB343C" w:rsidRDefault="006A7DFD" w:rsidP="00AB343C">
      <w:pPr>
        <w:spacing w:after="160" w:line="360" w:lineRule="auto"/>
        <w:jc w:val="both"/>
        <w:rPr>
          <w:sz w:val="22"/>
          <w:szCs w:val="22"/>
        </w:rPr>
      </w:pPr>
      <w:r w:rsidRPr="00AB343C">
        <w:rPr>
          <w:rFonts w:eastAsia="Arial"/>
          <w:sz w:val="22"/>
          <w:szCs w:val="22"/>
        </w:rPr>
        <w:t>Que la información requerida obra en poder del Departamento Ejecutivo, se genera en el marco de la propia liquidación mensual de haberes y su remisión no irroga costo ni esfuerzo administrativo extraordinario.</w:t>
      </w:r>
    </w:p>
    <w:p w:rsidR="0066572F" w:rsidRPr="00AB343C" w:rsidRDefault="006A7DFD" w:rsidP="00AB343C">
      <w:pPr>
        <w:spacing w:after="160" w:line="360" w:lineRule="auto"/>
        <w:jc w:val="both"/>
        <w:rPr>
          <w:sz w:val="22"/>
          <w:szCs w:val="22"/>
        </w:rPr>
      </w:pPr>
      <w:r w:rsidRPr="00AB343C">
        <w:rPr>
          <w:rFonts w:eastAsia="Arial"/>
          <w:sz w:val="22"/>
          <w:szCs w:val="22"/>
        </w:rPr>
        <w:t>Que es facultad y deber de este Honorable Concejo Deliberante, en su carácter de órgano de contralor, requerir los informes necesarios para el adecuado ejercicio de sus atribuciones, y que la respuesta a los mismos debe satisfacerse con el nivel técnico y el detalle que la materia exige, y no mediante respuestas genéricas o declamativas.</w:t>
      </w:r>
    </w:p>
    <w:p w:rsidR="0066572F" w:rsidRPr="00AB343C" w:rsidRDefault="006A7DFD" w:rsidP="00AB343C">
      <w:pPr>
        <w:spacing w:after="240" w:line="360" w:lineRule="auto"/>
        <w:jc w:val="both"/>
        <w:rPr>
          <w:sz w:val="22"/>
          <w:szCs w:val="22"/>
        </w:rPr>
      </w:pPr>
      <w:r w:rsidRPr="00AB343C">
        <w:rPr>
          <w:rFonts w:eastAsia="Arial"/>
          <w:sz w:val="22"/>
          <w:szCs w:val="22"/>
        </w:rPr>
        <w:t xml:space="preserve">Por ello, </w:t>
      </w:r>
      <w:r w:rsidRPr="00AB343C">
        <w:rPr>
          <w:rFonts w:eastAsia="Arial"/>
          <w:b/>
          <w:bCs/>
          <w:sz w:val="22"/>
          <w:szCs w:val="22"/>
        </w:rPr>
        <w:t>los Bloques POTENCIA y GEN</w:t>
      </w:r>
      <w:r w:rsidRPr="00AB343C">
        <w:rPr>
          <w:rFonts w:eastAsia="Arial"/>
          <w:sz w:val="22"/>
          <w:szCs w:val="22"/>
        </w:rPr>
        <w:t xml:space="preserve"> en atribución a sus facultades que le confiere la Ley Orgánica de las Municipalidades, proponen el siguiente:</w:t>
      </w:r>
    </w:p>
    <w:p w:rsidR="0066572F" w:rsidRPr="00AB343C" w:rsidRDefault="006A7DFD" w:rsidP="00AB343C">
      <w:pPr>
        <w:spacing w:after="240" w:line="360" w:lineRule="auto"/>
        <w:jc w:val="center"/>
        <w:rPr>
          <w:sz w:val="22"/>
          <w:szCs w:val="22"/>
          <w:u w:val="single"/>
        </w:rPr>
      </w:pPr>
      <w:r w:rsidRPr="00AB343C">
        <w:rPr>
          <w:rFonts w:eastAsia="Arial"/>
          <w:b/>
          <w:bCs/>
          <w:sz w:val="22"/>
          <w:szCs w:val="22"/>
          <w:u w:val="single"/>
        </w:rPr>
        <w:lastRenderedPageBreak/>
        <w:t>PROYECTO DE COMUNICACIÓN:</w:t>
      </w:r>
    </w:p>
    <w:p w:rsidR="0066572F" w:rsidRPr="00AB343C" w:rsidRDefault="006A7DFD" w:rsidP="00AB343C">
      <w:pPr>
        <w:spacing w:after="160" w:line="360" w:lineRule="auto"/>
        <w:jc w:val="both"/>
        <w:rPr>
          <w:sz w:val="22"/>
          <w:szCs w:val="22"/>
        </w:rPr>
      </w:pPr>
      <w:r w:rsidRPr="00AB343C">
        <w:rPr>
          <w:rFonts w:eastAsia="Arial"/>
          <w:b/>
          <w:bCs/>
          <w:sz w:val="22"/>
          <w:szCs w:val="22"/>
        </w:rPr>
        <w:t>ARTÍCULO 1°:</w:t>
      </w:r>
      <w:r w:rsidRPr="00AB343C">
        <w:rPr>
          <w:rFonts w:eastAsia="Arial"/>
          <w:sz w:val="22"/>
          <w:szCs w:val="22"/>
        </w:rPr>
        <w:t xml:space="preserve"> Requiérase al Departamento Ejecutivo que informe, en forma detallada y documentada, qué medidas concretas se adoptaron con posterioridad a la reunión mantenida con este Honorable Concejo Deliberante a raíz del proyecto solicitando informe sobre los códigos de descuento, con el objeto de morigerar el estado de endeudamiento de los trabajadores municipales, individualizando en cada caso el acto administrativo dictado, su fecha, su alcance y el grado de implementación alcanzado.</w:t>
      </w:r>
    </w:p>
    <w:p w:rsidR="0066572F" w:rsidRPr="00AB343C" w:rsidRDefault="006A7DFD" w:rsidP="00AB343C">
      <w:pPr>
        <w:spacing w:after="160" w:line="360" w:lineRule="auto"/>
        <w:jc w:val="both"/>
        <w:rPr>
          <w:sz w:val="22"/>
          <w:szCs w:val="22"/>
        </w:rPr>
      </w:pPr>
      <w:r w:rsidRPr="00AB343C">
        <w:rPr>
          <w:rFonts w:eastAsia="Arial"/>
          <w:b/>
          <w:bCs/>
          <w:sz w:val="22"/>
          <w:szCs w:val="22"/>
        </w:rPr>
        <w:t>ARTÍCULO 2°:</w:t>
      </w:r>
      <w:r w:rsidRPr="00AB343C">
        <w:rPr>
          <w:rFonts w:eastAsia="Arial"/>
          <w:sz w:val="22"/>
          <w:szCs w:val="22"/>
        </w:rPr>
        <w:t xml:space="preserve"> Solicítase se informe el estado actual del Sistema de Registro Único y Código de Descuento establecido por Ordenanza N.º 3030, precisando: a) nómina completa de códigos de descuento vigentes, con identificación de la entidad, mutual, asociación, financiera, sindicato o tercero beneficiario de cada uno; b) altas y bajas de códigos y de entidades operadas desde el 1° de enero de 2026 a la fecha; c) cantidad de agentes municipales alcanzados por descuentos no obligatorios; y d) monto total retenido mensualmente durante los últimos doce (12) meses, discriminado por entidad y por concepto.</w:t>
      </w:r>
    </w:p>
    <w:p w:rsidR="0066572F" w:rsidRPr="00AB343C" w:rsidRDefault="006A7DFD" w:rsidP="00AB343C">
      <w:pPr>
        <w:spacing w:after="160" w:line="360" w:lineRule="auto"/>
        <w:jc w:val="both"/>
        <w:rPr>
          <w:sz w:val="22"/>
          <w:szCs w:val="22"/>
        </w:rPr>
      </w:pPr>
      <w:r w:rsidRPr="00AB343C">
        <w:rPr>
          <w:rFonts w:eastAsia="Arial"/>
          <w:b/>
          <w:bCs/>
          <w:sz w:val="22"/>
          <w:szCs w:val="22"/>
        </w:rPr>
        <w:t>ARTÍCULO 3°:</w:t>
      </w:r>
      <w:r w:rsidRPr="00AB343C">
        <w:rPr>
          <w:rFonts w:eastAsia="Arial"/>
          <w:sz w:val="22"/>
          <w:szCs w:val="22"/>
        </w:rPr>
        <w:t xml:space="preserve"> Requiérase se informe el grado de afectación de los haberes por conceptos no obligatorios, indicando: a) si existe un tope máximo de afectación del haber neto y, en su caso, cuál es la norma que lo establece, quién controla su cumplimiento y con qué periodicidad; b) el porcentaje promedio de afectación sobre el haber neto del personal alcanzado; y c) la cantidad de agentes cuyos descuentos no obligatorios superan el 20%, el 30% y el 50% de su haber neto, respectivamente.</w:t>
      </w:r>
    </w:p>
    <w:p w:rsidR="0066572F" w:rsidRPr="00AB343C" w:rsidRDefault="006A7DFD" w:rsidP="00AB343C">
      <w:pPr>
        <w:spacing w:after="160" w:line="360" w:lineRule="auto"/>
        <w:jc w:val="both"/>
        <w:rPr>
          <w:sz w:val="22"/>
          <w:szCs w:val="22"/>
        </w:rPr>
      </w:pPr>
      <w:r w:rsidRPr="00AB343C">
        <w:rPr>
          <w:rFonts w:eastAsia="Arial"/>
          <w:b/>
          <w:bCs/>
          <w:sz w:val="22"/>
          <w:szCs w:val="22"/>
        </w:rPr>
        <w:t>ARTÍCULO 4°:</w:t>
      </w:r>
      <w:r w:rsidRPr="00AB343C">
        <w:rPr>
          <w:rFonts w:eastAsia="Arial"/>
          <w:sz w:val="22"/>
          <w:szCs w:val="22"/>
        </w:rPr>
        <w:t xml:space="preserve"> Encomiéndase informar el costo financiero de las operaciones instrumentadas a través de códigos de descuento, detallando las tasas de interés nominales y efectivas anuales aplicadas por cada entidad habilitada, los plazos de financiación y la existencia o inexistencia de topes convenidos por el Municipio en resguardo de los agentes, acompañando copia íntegra de los convenios celebrados entre la Municipalidad y las entidades intervinientes.</w:t>
      </w:r>
    </w:p>
    <w:p w:rsidR="0066572F" w:rsidRPr="00AB343C" w:rsidRDefault="006A7DFD" w:rsidP="00AB343C">
      <w:pPr>
        <w:spacing w:after="160" w:line="360" w:lineRule="auto"/>
        <w:jc w:val="both"/>
        <w:rPr>
          <w:sz w:val="22"/>
          <w:szCs w:val="22"/>
        </w:rPr>
      </w:pPr>
      <w:r w:rsidRPr="00AB343C">
        <w:rPr>
          <w:rFonts w:eastAsia="Arial"/>
          <w:b/>
          <w:bCs/>
          <w:sz w:val="22"/>
          <w:szCs w:val="22"/>
        </w:rPr>
        <w:t>ARTÍCULO 5°:</w:t>
      </w:r>
      <w:r w:rsidRPr="00AB343C">
        <w:rPr>
          <w:rFonts w:eastAsia="Arial"/>
          <w:sz w:val="22"/>
          <w:szCs w:val="22"/>
        </w:rPr>
        <w:t xml:space="preserve"> Solicítase se informe la cantidad de solicitudes de baja de códigos de descuento presentadas por trabajadores municipales durante los últimos tres (3) años, cuántas fueron concedidas y cuántas denegadas, con expresión de los fundamentos normativos y administrativos invocados en los casos de denegatoria, así como el procedimiento vigente para tramitar altas y bajas y el plazo promedio de resolución.</w:t>
      </w:r>
    </w:p>
    <w:p w:rsidR="0066572F" w:rsidRPr="00AB343C" w:rsidRDefault="006A7DFD" w:rsidP="00AB343C">
      <w:pPr>
        <w:spacing w:after="160" w:line="360" w:lineRule="auto"/>
        <w:jc w:val="both"/>
        <w:rPr>
          <w:sz w:val="22"/>
          <w:szCs w:val="22"/>
        </w:rPr>
      </w:pPr>
      <w:r w:rsidRPr="00AB343C">
        <w:rPr>
          <w:rFonts w:eastAsia="Arial"/>
          <w:b/>
          <w:bCs/>
          <w:sz w:val="22"/>
          <w:szCs w:val="22"/>
        </w:rPr>
        <w:t>ARTÍCULO 6°:</w:t>
      </w:r>
      <w:r w:rsidRPr="00AB343C">
        <w:rPr>
          <w:rFonts w:eastAsia="Arial"/>
          <w:sz w:val="22"/>
          <w:szCs w:val="22"/>
        </w:rPr>
        <w:t xml:space="preserve"> Requiérase se informe la cantidad de agentes municipales que registran embargos judiciales sobre sus haberes y la cantidad de solicitudes de adelanto de haberes o de ayudas económicas de emergencia recibidas y otorgadas durante los últimos veinticuatro (24) meses, discriminadas por mes, por tratarse de indicadores directos del nivel de estrés financiero de la planta municipal.</w:t>
      </w:r>
    </w:p>
    <w:p w:rsidR="0066572F" w:rsidRPr="00AB343C" w:rsidRDefault="006A7DFD" w:rsidP="00AB343C">
      <w:pPr>
        <w:spacing w:after="160" w:line="360" w:lineRule="auto"/>
        <w:jc w:val="both"/>
        <w:rPr>
          <w:sz w:val="22"/>
          <w:szCs w:val="22"/>
        </w:rPr>
      </w:pPr>
      <w:r w:rsidRPr="00AB343C">
        <w:rPr>
          <w:rFonts w:eastAsia="Arial"/>
          <w:b/>
          <w:bCs/>
          <w:sz w:val="22"/>
          <w:szCs w:val="22"/>
        </w:rPr>
        <w:lastRenderedPageBreak/>
        <w:t>ARTÍCULO 7°:</w:t>
      </w:r>
      <w:r w:rsidRPr="00AB343C">
        <w:rPr>
          <w:rFonts w:eastAsia="Arial"/>
          <w:sz w:val="22"/>
          <w:szCs w:val="22"/>
        </w:rPr>
        <w:t xml:space="preserve"> Peticiónase se informe si el Departamento Ejecutivo ha evaluado, proyectado o implementado alguna política de asistencia financiera al personal en condiciones más favorables que las vigentes —tales como una caja de crédito o fondo de ayuda mutua, convenios con entidades bancarias, refinanciación de deudas o programas de educación financiera—, precisando su estado de avance y, en caso negativo, los motivos por los cuales no se ha adoptado medida alguna en tal sentido.</w:t>
      </w:r>
    </w:p>
    <w:p w:rsidR="0066572F" w:rsidRPr="00AB343C" w:rsidRDefault="006A7DFD" w:rsidP="00AB343C">
      <w:pPr>
        <w:spacing w:after="160" w:line="360" w:lineRule="auto"/>
        <w:jc w:val="both"/>
        <w:rPr>
          <w:sz w:val="22"/>
          <w:szCs w:val="22"/>
        </w:rPr>
      </w:pPr>
      <w:r w:rsidRPr="00AB343C">
        <w:rPr>
          <w:rFonts w:eastAsia="Arial"/>
          <w:b/>
          <w:bCs/>
          <w:sz w:val="22"/>
          <w:szCs w:val="22"/>
        </w:rPr>
        <w:t>ARTÍCULO 8°:</w:t>
      </w:r>
      <w:r w:rsidRPr="00AB343C">
        <w:rPr>
          <w:rFonts w:eastAsia="Arial"/>
          <w:sz w:val="22"/>
          <w:szCs w:val="22"/>
        </w:rPr>
        <w:t xml:space="preserve"> Solicítase se informe la composición actual del recibo de haberes del personal municipal, indicando el sueldo básico del administrativo ingresante de 40 horas, el detalle de bonificaciones y adicionales, el porcentaje que representan los conceptos no remunerativos sobre el total del haber y la cantidad de agentes cuyo salario neto se ubica por debajo de la Canasta Básica Total publicada por el INDEC.</w:t>
      </w:r>
    </w:p>
    <w:p w:rsidR="0066572F" w:rsidRPr="00AB343C" w:rsidRDefault="006A7DFD" w:rsidP="00AB343C">
      <w:pPr>
        <w:spacing w:after="160" w:line="360" w:lineRule="auto"/>
        <w:jc w:val="both"/>
        <w:rPr>
          <w:sz w:val="22"/>
          <w:szCs w:val="22"/>
        </w:rPr>
      </w:pPr>
      <w:r w:rsidRPr="00AB343C">
        <w:rPr>
          <w:rFonts w:eastAsia="Arial"/>
          <w:b/>
          <w:bCs/>
          <w:sz w:val="22"/>
          <w:szCs w:val="22"/>
        </w:rPr>
        <w:t>ARTÍCULO 9°:</w:t>
      </w:r>
      <w:r w:rsidRPr="00AB343C">
        <w:rPr>
          <w:rFonts w:eastAsia="Arial"/>
          <w:sz w:val="22"/>
          <w:szCs w:val="22"/>
        </w:rPr>
        <w:t xml:space="preserve"> Requiérase se informe la fecha de convocatoria de la instancia de revisión salarial del segundo semestre prevista en el acuerdo paritario de enero de 2026, la pauta de recomposición que el Departamento Ejecutivo propondrá en dicha instancia y el cronograma estimado de aplicación, acompañando copia de las actas de la Mesa Salarial suscriptas durante el corriente año.</w:t>
      </w:r>
    </w:p>
    <w:p w:rsidR="0066572F" w:rsidRPr="00AB343C" w:rsidRDefault="006A7DFD" w:rsidP="00AB343C">
      <w:pPr>
        <w:spacing w:after="160" w:line="360" w:lineRule="auto"/>
        <w:jc w:val="both"/>
        <w:rPr>
          <w:sz w:val="22"/>
          <w:szCs w:val="22"/>
        </w:rPr>
      </w:pPr>
      <w:r w:rsidRPr="00AB343C">
        <w:rPr>
          <w:rFonts w:eastAsia="Arial"/>
          <w:b/>
          <w:bCs/>
          <w:sz w:val="22"/>
          <w:szCs w:val="22"/>
        </w:rPr>
        <w:t>ARTÍCULO 10°:</w:t>
      </w:r>
      <w:r w:rsidR="00AB343C">
        <w:rPr>
          <w:rFonts w:eastAsia="Arial"/>
          <w:sz w:val="22"/>
          <w:szCs w:val="22"/>
        </w:rPr>
        <w:t xml:space="preserve"> Ínstese</w:t>
      </w:r>
      <w:bookmarkStart w:id="0" w:name="_GoBack"/>
      <w:bookmarkEnd w:id="0"/>
      <w:r w:rsidR="00AB343C">
        <w:rPr>
          <w:rFonts w:eastAsia="Arial"/>
          <w:sz w:val="22"/>
          <w:szCs w:val="22"/>
        </w:rPr>
        <w:t xml:space="preserve"> </w:t>
      </w:r>
      <w:r w:rsidRPr="00AB343C">
        <w:rPr>
          <w:rFonts w:eastAsia="Arial"/>
          <w:sz w:val="22"/>
          <w:szCs w:val="22"/>
        </w:rPr>
        <w:t>al Departamento Ejecutivo a convocar sin más dilación la instancia de negociación colectiva prevista en el acuerdo paritario de enero de 2026, en el marco de la Ley Provincial N.º 14.656, y a que la propuesta que allí formule no se limite a compensar la inflación del período, sino que contemple una pauta de recuperación efectiva del salario real de los trabajadores municipales.</w:t>
      </w:r>
    </w:p>
    <w:p w:rsidR="0066572F" w:rsidRPr="00AB343C" w:rsidRDefault="006A7DFD" w:rsidP="00AB343C">
      <w:pPr>
        <w:spacing w:after="160" w:line="360" w:lineRule="auto"/>
        <w:jc w:val="both"/>
        <w:rPr>
          <w:sz w:val="22"/>
          <w:szCs w:val="22"/>
        </w:rPr>
      </w:pPr>
      <w:r w:rsidRPr="00AB343C">
        <w:rPr>
          <w:rFonts w:eastAsia="Arial"/>
          <w:b/>
          <w:bCs/>
          <w:sz w:val="22"/>
          <w:szCs w:val="22"/>
        </w:rPr>
        <w:t>ARTÍCULO 11°:</w:t>
      </w:r>
      <w:r w:rsidRPr="00AB343C">
        <w:rPr>
          <w:rFonts w:eastAsia="Arial"/>
          <w:sz w:val="22"/>
          <w:szCs w:val="22"/>
        </w:rPr>
        <w:t xml:space="preserve"> Solicítase que, en el marco de dicha negociación, se acuerde un sendero de recomposición con horizonte temporal definido, orientado a recuperar progresivamente el poder adquisitivo vigente en diciembre de 2015, precisándose las metas parciales, los plazos de aplicación y los tramos de aumento previstos para alcanzarlo.</w:t>
      </w:r>
    </w:p>
    <w:p w:rsidR="0066572F" w:rsidRPr="00AB343C" w:rsidRDefault="006A7DFD" w:rsidP="00AB343C">
      <w:pPr>
        <w:spacing w:after="160" w:line="360" w:lineRule="auto"/>
        <w:jc w:val="both"/>
        <w:rPr>
          <w:sz w:val="22"/>
          <w:szCs w:val="22"/>
        </w:rPr>
      </w:pPr>
      <w:r w:rsidRPr="00AB343C">
        <w:rPr>
          <w:rFonts w:eastAsia="Arial"/>
          <w:b/>
          <w:bCs/>
          <w:sz w:val="22"/>
          <w:szCs w:val="22"/>
        </w:rPr>
        <w:t>ARTÍCULO 12°:</w:t>
      </w:r>
      <w:r w:rsidRPr="00AB343C">
        <w:rPr>
          <w:rFonts w:eastAsia="Arial"/>
          <w:sz w:val="22"/>
          <w:szCs w:val="22"/>
        </w:rPr>
        <w:t xml:space="preserve"> Encomiéndase que se incorpore a los acuerdos salariales un mecanismo de revisión periódica y automática, referenciado en el Índice de Precios al Consumidor que publica el INDEC, que garantice la actualización de los haberes entre instancias paritarias e impida la repetición de períodos prolongados sin recomposición como el transcurrido desde mayo del corriente año.</w:t>
      </w:r>
    </w:p>
    <w:p w:rsidR="0066572F" w:rsidRPr="00AB343C" w:rsidRDefault="006A7DFD" w:rsidP="00AB343C">
      <w:pPr>
        <w:spacing w:after="160" w:line="360" w:lineRule="auto"/>
        <w:jc w:val="both"/>
        <w:rPr>
          <w:sz w:val="22"/>
          <w:szCs w:val="22"/>
        </w:rPr>
      </w:pPr>
      <w:r w:rsidRPr="00AB343C">
        <w:rPr>
          <w:rFonts w:eastAsia="Arial"/>
          <w:b/>
          <w:bCs/>
          <w:sz w:val="22"/>
          <w:szCs w:val="22"/>
        </w:rPr>
        <w:t>ARTÍCULO 13°:</w:t>
      </w:r>
      <w:r w:rsidRPr="00AB343C">
        <w:rPr>
          <w:rFonts w:eastAsia="Arial"/>
          <w:sz w:val="22"/>
          <w:szCs w:val="22"/>
        </w:rPr>
        <w:t xml:space="preserve"> Requiérase se informe si el Departamento Ejecutivo cuenta con un plan plurianual de recomposición salarial, acompañando en su caso el cronograma, el impacto presupuestario estimado y las fuentes de financiamiento previstas, y en caso de no contar con él, se lo elabore y remita a este Honorable Concejo Deliberante.</w:t>
      </w:r>
    </w:p>
    <w:p w:rsidR="0066572F" w:rsidRPr="00AB343C" w:rsidRDefault="006A7DFD" w:rsidP="00AB343C">
      <w:pPr>
        <w:spacing w:after="160" w:line="360" w:lineRule="auto"/>
        <w:jc w:val="both"/>
        <w:rPr>
          <w:sz w:val="22"/>
          <w:szCs w:val="22"/>
        </w:rPr>
      </w:pPr>
      <w:r w:rsidRPr="00AB343C">
        <w:rPr>
          <w:rFonts w:eastAsia="Arial"/>
          <w:b/>
          <w:bCs/>
          <w:sz w:val="22"/>
          <w:szCs w:val="22"/>
        </w:rPr>
        <w:t>ARTÍCULO 14°:</w:t>
      </w:r>
      <w:r w:rsidRPr="00AB343C">
        <w:rPr>
          <w:rFonts w:eastAsia="Arial"/>
          <w:sz w:val="22"/>
          <w:szCs w:val="22"/>
        </w:rPr>
        <w:t xml:space="preserve"> Agrégase como Anexo al presente el informe de situación salarial "El sueldo municipal conserva el 56,3% de su valor de 2015", elaborado sobre la base de los decretos salariales publicados en el </w:t>
      </w:r>
      <w:r w:rsidRPr="00AB343C">
        <w:rPr>
          <w:rFonts w:eastAsia="Arial"/>
          <w:sz w:val="22"/>
          <w:szCs w:val="22"/>
        </w:rPr>
        <w:lastRenderedPageBreak/>
        <w:t>Sistema de Boletín Oficial Municipal, las actas de la Mesa Salarial y los índices de precios del INDEC, a fin de que integre el expediente y sirva de sustento a lo requerido.</w:t>
      </w:r>
    </w:p>
    <w:p w:rsidR="0066572F" w:rsidRPr="00AB343C" w:rsidRDefault="006A7DFD" w:rsidP="00AB343C">
      <w:pPr>
        <w:spacing w:after="160" w:line="360" w:lineRule="auto"/>
        <w:jc w:val="both"/>
        <w:rPr>
          <w:sz w:val="22"/>
          <w:szCs w:val="22"/>
        </w:rPr>
      </w:pPr>
      <w:r w:rsidRPr="00AB343C">
        <w:rPr>
          <w:rFonts w:eastAsia="Arial"/>
          <w:b/>
          <w:bCs/>
          <w:sz w:val="22"/>
          <w:szCs w:val="22"/>
        </w:rPr>
        <w:t>ARTÍCULO 15°:</w:t>
      </w:r>
      <w:r w:rsidRPr="00AB343C">
        <w:rPr>
          <w:rFonts w:eastAsia="Arial"/>
          <w:sz w:val="22"/>
          <w:szCs w:val="22"/>
        </w:rPr>
        <w:t xml:space="preserve"> Requiérase que la información solicitada sea remitida a este Honorable Concejo Deliberante dentro de los diez (10) días hábiles de recepcionada la presente, acompañada de la documentación respaldatoria correspondiente.</w:t>
      </w:r>
    </w:p>
    <w:p w:rsidR="0066572F" w:rsidRPr="00AB343C" w:rsidRDefault="006A7DFD" w:rsidP="00AB343C">
      <w:pPr>
        <w:spacing w:after="160" w:line="360" w:lineRule="auto"/>
        <w:jc w:val="both"/>
        <w:rPr>
          <w:rFonts w:eastAsia="Arial"/>
          <w:sz w:val="22"/>
          <w:szCs w:val="22"/>
        </w:rPr>
      </w:pPr>
      <w:r w:rsidRPr="00AB343C">
        <w:rPr>
          <w:rFonts w:eastAsia="Arial"/>
          <w:b/>
          <w:bCs/>
          <w:sz w:val="22"/>
          <w:szCs w:val="22"/>
        </w:rPr>
        <w:t>ARTÍCULO 16°:</w:t>
      </w:r>
      <w:r w:rsidRPr="00AB343C">
        <w:rPr>
          <w:rFonts w:eastAsia="Arial"/>
          <w:sz w:val="22"/>
          <w:szCs w:val="22"/>
        </w:rPr>
        <w:t xml:space="preserve"> Insístase en la solicitud del subdiario municipal, a los fines de diagnosticar acabadamente el estado de la totalidad de la planta de la </w:t>
      </w:r>
      <w:proofErr w:type="gramStart"/>
      <w:r w:rsidRPr="00AB343C">
        <w:rPr>
          <w:rFonts w:eastAsia="Arial"/>
          <w:sz w:val="22"/>
          <w:szCs w:val="22"/>
        </w:rPr>
        <w:t>Municipalidad.-</w:t>
      </w:r>
      <w:proofErr w:type="gramEnd"/>
    </w:p>
    <w:p w:rsidR="00AB343C" w:rsidRPr="00AB343C" w:rsidRDefault="00AB343C" w:rsidP="00AB343C">
      <w:pPr>
        <w:spacing w:after="160" w:line="360" w:lineRule="auto"/>
        <w:jc w:val="both"/>
        <w:rPr>
          <w:sz w:val="22"/>
          <w:szCs w:val="22"/>
        </w:rPr>
      </w:pPr>
      <w:r w:rsidRPr="00AB343C">
        <w:rPr>
          <w:rFonts w:eastAsia="Arial"/>
          <w:b/>
          <w:sz w:val="22"/>
          <w:szCs w:val="22"/>
        </w:rPr>
        <w:t>ARTICULO 17°:</w:t>
      </w:r>
      <w:r w:rsidRPr="00AB343C">
        <w:rPr>
          <w:rFonts w:eastAsia="Arial"/>
          <w:sz w:val="22"/>
          <w:szCs w:val="22"/>
        </w:rPr>
        <w:t xml:space="preserve"> De </w:t>
      </w:r>
      <w:proofErr w:type="gramStart"/>
      <w:r w:rsidRPr="00AB343C">
        <w:rPr>
          <w:rFonts w:eastAsia="Arial"/>
          <w:sz w:val="22"/>
          <w:szCs w:val="22"/>
        </w:rPr>
        <w:t>forma.-</w:t>
      </w:r>
      <w:proofErr w:type="gramEnd"/>
    </w:p>
    <w:sectPr w:rsidR="00AB343C" w:rsidRPr="00AB343C">
      <w:head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81C" w:rsidRDefault="00B5081C" w:rsidP="00AB343C">
      <w:r>
        <w:separator/>
      </w:r>
    </w:p>
  </w:endnote>
  <w:endnote w:type="continuationSeparator" w:id="0">
    <w:p w:rsidR="00B5081C" w:rsidRDefault="00B5081C" w:rsidP="00AB3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81C" w:rsidRDefault="00B5081C" w:rsidP="00AB343C">
      <w:r>
        <w:separator/>
      </w:r>
    </w:p>
  </w:footnote>
  <w:footnote w:type="continuationSeparator" w:id="0">
    <w:p w:rsidR="00B5081C" w:rsidRDefault="00B5081C" w:rsidP="00AB34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43C" w:rsidRPr="00AB343C" w:rsidRDefault="00AB343C" w:rsidP="00AB343C">
    <w:pPr>
      <w:ind w:left="170"/>
      <w:jc w:val="center"/>
      <w:rPr>
        <w:rFonts w:ascii="Footlight MT Light" w:hAnsi="Footlight MT Light"/>
        <w:color w:val="000000"/>
        <w:lang w:eastAsia="es-ES"/>
      </w:rPr>
    </w:pPr>
    <w:r w:rsidRPr="00AB343C">
      <w:rPr>
        <w:rFonts w:ascii="Footlight MT Light" w:hAnsi="Footlight MT Light"/>
        <w:noProof/>
        <w:color w:val="000000"/>
        <w:lang w:val="en-US" w:eastAsia="en-US"/>
      </w:rPr>
      <w:drawing>
        <wp:inline distT="0" distB="0" distL="0" distR="0" wp14:anchorId="1AD5EC19" wp14:editId="1BCF324F">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AB343C" w:rsidRPr="00AB343C" w:rsidRDefault="00AB343C" w:rsidP="00AB343C">
    <w:pPr>
      <w:keepNext/>
      <w:ind w:left="170"/>
      <w:jc w:val="center"/>
      <w:outlineLvl w:val="0"/>
      <w:rPr>
        <w:b/>
        <w:bCs/>
        <w:color w:val="000000"/>
        <w:sz w:val="22"/>
        <w:szCs w:val="22"/>
        <w:lang w:eastAsia="es-ES"/>
      </w:rPr>
    </w:pPr>
    <w:r w:rsidRPr="00AB343C">
      <w:rPr>
        <w:b/>
        <w:bCs/>
        <w:color w:val="000000"/>
        <w:sz w:val="22"/>
        <w:szCs w:val="22"/>
        <w:lang w:eastAsia="es-ES"/>
      </w:rPr>
      <w:t>Honorable Concejo Deliberante</w:t>
    </w:r>
  </w:p>
  <w:p w:rsidR="00AB343C" w:rsidRPr="00AB343C" w:rsidRDefault="00AB343C" w:rsidP="00AB343C">
    <w:pPr>
      <w:ind w:left="170"/>
      <w:jc w:val="center"/>
      <w:rPr>
        <w:b/>
        <w:bCs/>
        <w:color w:val="000000"/>
        <w:sz w:val="22"/>
        <w:szCs w:val="22"/>
        <w:lang w:eastAsia="es-ES"/>
      </w:rPr>
    </w:pPr>
    <w:r w:rsidRPr="00AB343C">
      <w:rPr>
        <w:b/>
        <w:bCs/>
        <w:color w:val="000000"/>
        <w:sz w:val="22"/>
        <w:szCs w:val="22"/>
        <w:lang w:eastAsia="es-ES"/>
      </w:rPr>
      <w:t>Mitre 38 -    Chascomús</w:t>
    </w:r>
  </w:p>
  <w:p w:rsidR="00AB343C" w:rsidRPr="00AB343C" w:rsidRDefault="00AB343C" w:rsidP="00AB343C">
    <w:pPr>
      <w:ind w:left="170"/>
      <w:jc w:val="center"/>
      <w:rPr>
        <w:b/>
        <w:bCs/>
        <w:color w:val="000000"/>
        <w:sz w:val="22"/>
        <w:szCs w:val="22"/>
        <w:lang w:eastAsia="es-ES"/>
      </w:rPr>
    </w:pPr>
    <w:r w:rsidRPr="00AB343C">
      <w:rPr>
        <w:b/>
        <w:bCs/>
        <w:color w:val="000000"/>
        <w:sz w:val="22"/>
        <w:szCs w:val="22"/>
        <w:lang w:eastAsia="es-ES"/>
      </w:rPr>
      <w:t>Bloques POTENCIA - GEN</w:t>
    </w:r>
  </w:p>
  <w:p w:rsidR="00AB343C" w:rsidRPr="00AB343C" w:rsidRDefault="00AB343C" w:rsidP="00AB343C">
    <w:pPr>
      <w:ind w:left="170"/>
      <w:jc w:val="center"/>
      <w:rPr>
        <w:b/>
        <w:sz w:val="24"/>
        <w:szCs w:val="24"/>
        <w:lang w:val="es-ES_tradnl" w:eastAsia="en-US"/>
      </w:rPr>
    </w:pPr>
    <w:r w:rsidRPr="00AB343C">
      <w:rPr>
        <w:b/>
        <w:bCs/>
        <w:color w:val="000000"/>
        <w:sz w:val="22"/>
        <w:szCs w:val="22"/>
        <w:lang w:eastAsia="es-ES"/>
      </w:rPr>
      <w:t>“</w:t>
    </w:r>
    <w:r w:rsidRPr="00AB343C">
      <w:rPr>
        <w:rFonts w:eastAsia="Calibri"/>
        <w:b/>
        <w:sz w:val="22"/>
        <w:szCs w:val="22"/>
        <w:lang w:val="es-ES" w:eastAsia="en-US"/>
      </w:rPr>
      <w:t>2026: Año del 200° Aniversario de la Escuela Primaria N° 1 “Bernardino Rivadavia”</w:t>
    </w:r>
  </w:p>
  <w:p w:rsidR="00AB343C" w:rsidRPr="00AB343C" w:rsidRDefault="00AB343C">
    <w:pPr>
      <w:pStyle w:val="Encabezado"/>
      <w:rPr>
        <w:lang w:val="es-ES_tradn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A7C05"/>
    <w:multiLevelType w:val="hybridMultilevel"/>
    <w:tmpl w:val="438CC608"/>
    <w:lvl w:ilvl="0" w:tplc="BD3E8BD6">
      <w:start w:val="1"/>
      <w:numFmt w:val="bullet"/>
      <w:lvlText w:val="●"/>
      <w:lvlJc w:val="left"/>
      <w:pPr>
        <w:ind w:left="720" w:hanging="360"/>
      </w:pPr>
    </w:lvl>
    <w:lvl w:ilvl="1" w:tplc="F8FEE46E">
      <w:start w:val="1"/>
      <w:numFmt w:val="bullet"/>
      <w:lvlText w:val="○"/>
      <w:lvlJc w:val="left"/>
      <w:pPr>
        <w:ind w:left="1440" w:hanging="360"/>
      </w:pPr>
    </w:lvl>
    <w:lvl w:ilvl="2" w:tplc="10C82FC6">
      <w:start w:val="1"/>
      <w:numFmt w:val="bullet"/>
      <w:lvlText w:val="■"/>
      <w:lvlJc w:val="left"/>
      <w:pPr>
        <w:ind w:left="2160" w:hanging="360"/>
      </w:pPr>
    </w:lvl>
    <w:lvl w:ilvl="3" w:tplc="2D9E8504">
      <w:start w:val="1"/>
      <w:numFmt w:val="bullet"/>
      <w:lvlText w:val="●"/>
      <w:lvlJc w:val="left"/>
      <w:pPr>
        <w:ind w:left="2880" w:hanging="360"/>
      </w:pPr>
    </w:lvl>
    <w:lvl w:ilvl="4" w:tplc="57FA8F14">
      <w:start w:val="1"/>
      <w:numFmt w:val="bullet"/>
      <w:lvlText w:val="○"/>
      <w:lvlJc w:val="left"/>
      <w:pPr>
        <w:ind w:left="3600" w:hanging="360"/>
      </w:pPr>
    </w:lvl>
    <w:lvl w:ilvl="5" w:tplc="5C408C3A">
      <w:start w:val="1"/>
      <w:numFmt w:val="bullet"/>
      <w:lvlText w:val="■"/>
      <w:lvlJc w:val="left"/>
      <w:pPr>
        <w:ind w:left="4320" w:hanging="360"/>
      </w:pPr>
    </w:lvl>
    <w:lvl w:ilvl="6" w:tplc="12DA7B90">
      <w:start w:val="1"/>
      <w:numFmt w:val="bullet"/>
      <w:lvlText w:val="●"/>
      <w:lvlJc w:val="left"/>
      <w:pPr>
        <w:ind w:left="5040" w:hanging="360"/>
      </w:pPr>
    </w:lvl>
    <w:lvl w:ilvl="7" w:tplc="D522249E">
      <w:start w:val="1"/>
      <w:numFmt w:val="bullet"/>
      <w:lvlText w:val="●"/>
      <w:lvlJc w:val="left"/>
      <w:pPr>
        <w:ind w:left="5760" w:hanging="360"/>
      </w:pPr>
    </w:lvl>
    <w:lvl w:ilvl="8" w:tplc="3DDC7F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2F"/>
    <w:rsid w:val="0066572F"/>
    <w:rsid w:val="006A7DFD"/>
    <w:rsid w:val="00AB343C"/>
    <w:rsid w:val="00B508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7150"/>
  <w15:docId w15:val="{251DF5A8-3FD2-1743-9FC0-7DD21505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AB343C"/>
    <w:pPr>
      <w:tabs>
        <w:tab w:val="center" w:pos="4419"/>
        <w:tab w:val="right" w:pos="8838"/>
      </w:tabs>
    </w:pPr>
  </w:style>
  <w:style w:type="character" w:customStyle="1" w:styleId="EncabezadoCar">
    <w:name w:val="Encabezado Car"/>
    <w:basedOn w:val="Fuentedeprrafopredeter"/>
    <w:link w:val="Encabezado"/>
    <w:uiPriority w:val="99"/>
    <w:rsid w:val="00AB343C"/>
  </w:style>
  <w:style w:type="paragraph" w:styleId="Piedepgina">
    <w:name w:val="footer"/>
    <w:basedOn w:val="Normal"/>
    <w:link w:val="PiedepginaCar"/>
    <w:uiPriority w:val="99"/>
    <w:unhideWhenUsed/>
    <w:rsid w:val="00AB343C"/>
    <w:pPr>
      <w:tabs>
        <w:tab w:val="center" w:pos="4419"/>
        <w:tab w:val="right" w:pos="8838"/>
      </w:tabs>
    </w:pPr>
  </w:style>
  <w:style w:type="character" w:customStyle="1" w:styleId="PiedepginaCar">
    <w:name w:val="Pie de página Car"/>
    <w:basedOn w:val="Fuentedeprrafopredeter"/>
    <w:link w:val="Piedepgina"/>
    <w:uiPriority w:val="99"/>
    <w:rsid w:val="00AB3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2034</Words>
  <Characters>11599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Delfina</cp:lastModifiedBy>
  <cp:revision>2</cp:revision>
  <dcterms:created xsi:type="dcterms:W3CDTF">2026-08-11T15:09:00Z</dcterms:created>
  <dcterms:modified xsi:type="dcterms:W3CDTF">2026-08-11T15:09:00Z</dcterms:modified>
</cp:coreProperties>
</file>