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9C0" w:rsidRPr="0004430D" w:rsidRDefault="009959C0" w:rsidP="0004430D">
      <w:pPr>
        <w:spacing w:after="240" w:line="360" w:lineRule="auto"/>
        <w:jc w:val="both"/>
        <w:rPr>
          <w:sz w:val="22"/>
          <w:szCs w:val="22"/>
        </w:rPr>
      </w:pPr>
    </w:p>
    <w:p w:rsidR="009959C0" w:rsidRPr="0004430D" w:rsidRDefault="0004430D" w:rsidP="003437FB">
      <w:pPr>
        <w:spacing w:after="240" w:line="360" w:lineRule="auto"/>
        <w:jc w:val="right"/>
        <w:rPr>
          <w:sz w:val="22"/>
          <w:szCs w:val="22"/>
        </w:rPr>
      </w:pPr>
      <w:r w:rsidRPr="0004430D">
        <w:rPr>
          <w:sz w:val="22"/>
          <w:szCs w:val="22"/>
        </w:rPr>
        <w:t>Chascomús, 2</w:t>
      </w:r>
      <w:r w:rsidR="00DA4287">
        <w:rPr>
          <w:sz w:val="22"/>
          <w:szCs w:val="22"/>
        </w:rPr>
        <w:t>5</w:t>
      </w:r>
      <w:r w:rsidR="004D37EE" w:rsidRPr="0004430D">
        <w:rPr>
          <w:sz w:val="22"/>
          <w:szCs w:val="22"/>
        </w:rPr>
        <w:t xml:space="preserve"> de agosto de 2026.</w:t>
      </w:r>
    </w:p>
    <w:p w:rsidR="009959C0" w:rsidRPr="0004430D" w:rsidRDefault="004D37EE" w:rsidP="0004430D">
      <w:pPr>
        <w:spacing w:line="360" w:lineRule="auto"/>
        <w:jc w:val="both"/>
        <w:rPr>
          <w:sz w:val="22"/>
          <w:szCs w:val="22"/>
        </w:rPr>
      </w:pPr>
      <w:r w:rsidRPr="0004430D">
        <w:rPr>
          <w:b/>
          <w:bCs/>
          <w:sz w:val="22"/>
          <w:szCs w:val="22"/>
        </w:rPr>
        <w:t>Sra. Presidente del</w:t>
      </w:r>
    </w:p>
    <w:p w:rsidR="009959C0" w:rsidRPr="0004430D" w:rsidRDefault="004D37EE" w:rsidP="0004430D">
      <w:pPr>
        <w:spacing w:line="360" w:lineRule="auto"/>
        <w:jc w:val="both"/>
        <w:rPr>
          <w:sz w:val="22"/>
          <w:szCs w:val="22"/>
        </w:rPr>
      </w:pPr>
      <w:r w:rsidRPr="0004430D">
        <w:rPr>
          <w:b/>
          <w:bCs/>
          <w:sz w:val="22"/>
          <w:szCs w:val="22"/>
        </w:rPr>
        <w:t>Honorable Concejo Deliberante</w:t>
      </w:r>
    </w:p>
    <w:p w:rsidR="009959C0" w:rsidRPr="0004430D" w:rsidRDefault="004D37EE" w:rsidP="0004430D">
      <w:pPr>
        <w:spacing w:line="360" w:lineRule="auto"/>
        <w:jc w:val="both"/>
        <w:rPr>
          <w:sz w:val="22"/>
          <w:szCs w:val="22"/>
        </w:rPr>
      </w:pPr>
      <w:r w:rsidRPr="0004430D">
        <w:rPr>
          <w:b/>
          <w:bCs/>
          <w:sz w:val="22"/>
          <w:szCs w:val="22"/>
        </w:rPr>
        <w:t>OSCAR FREDDY TOLEDO BARZOLA</w:t>
      </w:r>
    </w:p>
    <w:p w:rsidR="009959C0" w:rsidRPr="0004430D" w:rsidRDefault="004D37EE" w:rsidP="0004430D">
      <w:pPr>
        <w:spacing w:after="240" w:line="360" w:lineRule="auto"/>
        <w:jc w:val="both"/>
        <w:rPr>
          <w:sz w:val="22"/>
          <w:szCs w:val="22"/>
        </w:rPr>
      </w:pPr>
      <w:r w:rsidRPr="0004430D">
        <w:rPr>
          <w:b/>
          <w:bCs/>
          <w:sz w:val="22"/>
          <w:szCs w:val="22"/>
        </w:rPr>
        <w:t>S          /          D</w:t>
      </w:r>
      <w:r w:rsidR="003437FB">
        <w:rPr>
          <w:b/>
          <w:bCs/>
          <w:sz w:val="22"/>
          <w:szCs w:val="22"/>
        </w:rPr>
        <w:t>:</w:t>
      </w:r>
    </w:p>
    <w:p w:rsidR="009959C0" w:rsidRPr="0004430D" w:rsidRDefault="004D37EE" w:rsidP="0004430D">
      <w:pPr>
        <w:spacing w:after="120" w:line="360" w:lineRule="auto"/>
        <w:jc w:val="both"/>
        <w:rPr>
          <w:sz w:val="22"/>
          <w:szCs w:val="22"/>
        </w:rPr>
      </w:pPr>
      <w:r w:rsidRPr="0004430D">
        <w:rPr>
          <w:sz w:val="22"/>
          <w:szCs w:val="22"/>
        </w:rPr>
        <w:t>De nuestra consideración:</w:t>
      </w:r>
    </w:p>
    <w:p w:rsidR="009959C0" w:rsidRPr="0004430D" w:rsidRDefault="004D37EE" w:rsidP="0004430D">
      <w:pPr>
        <w:spacing w:after="300" w:line="360" w:lineRule="auto"/>
        <w:ind w:firstLine="1400"/>
        <w:jc w:val="both"/>
        <w:rPr>
          <w:sz w:val="22"/>
          <w:szCs w:val="22"/>
        </w:rPr>
      </w:pPr>
      <w:r w:rsidRPr="0004430D">
        <w:rPr>
          <w:sz w:val="22"/>
          <w:szCs w:val="22"/>
        </w:rPr>
        <w:t>Remitimos copia del presente proyecto para ser incluida en el orden del día de la próxima sesión.</w:t>
      </w:r>
    </w:p>
    <w:p w:rsidR="009959C0" w:rsidRPr="0004430D" w:rsidRDefault="00C64D7D" w:rsidP="0004430D">
      <w:pPr>
        <w:spacing w:after="300" w:line="360" w:lineRule="auto"/>
        <w:jc w:val="both"/>
        <w:rPr>
          <w:sz w:val="22"/>
          <w:szCs w:val="22"/>
        </w:rPr>
      </w:pPr>
      <w:r w:rsidRPr="0004430D">
        <w:rPr>
          <w:b/>
          <w:bCs/>
          <w:sz w:val="22"/>
          <w:szCs w:val="22"/>
        </w:rPr>
        <w:t>SOLICITA INFORME</w:t>
      </w:r>
      <w:r w:rsidR="0004430D" w:rsidRPr="0004430D">
        <w:rPr>
          <w:b/>
          <w:bCs/>
          <w:sz w:val="22"/>
          <w:szCs w:val="22"/>
        </w:rPr>
        <w:t xml:space="preserve"> SOBRE</w:t>
      </w:r>
      <w:r w:rsidR="003A4881">
        <w:rPr>
          <w:b/>
          <w:bCs/>
          <w:sz w:val="22"/>
          <w:szCs w:val="22"/>
        </w:rPr>
        <w:t xml:space="preserve"> </w:t>
      </w:r>
      <w:r w:rsidR="003A4881" w:rsidRPr="003A4881">
        <w:rPr>
          <w:b/>
          <w:bCs/>
          <w:sz w:val="22"/>
          <w:szCs w:val="22"/>
        </w:rPr>
        <w:t xml:space="preserve">SITUACIÓN TARIFARIA Y FACTURACIÓN DEL SERVICIO ELÉCTRICO – EDEA </w:t>
      </w:r>
      <w:r w:rsidR="00DA4287" w:rsidRPr="003A4881">
        <w:rPr>
          <w:b/>
          <w:bCs/>
          <w:sz w:val="22"/>
          <w:szCs w:val="22"/>
        </w:rPr>
        <w:t>S.A.</w:t>
      </w:r>
      <w:r w:rsidRPr="0004430D">
        <w:rPr>
          <w:b/>
          <w:bCs/>
          <w:sz w:val="22"/>
          <w:szCs w:val="22"/>
        </w:rPr>
        <w:t>-</w:t>
      </w:r>
    </w:p>
    <w:p w:rsidR="00077FC7" w:rsidRPr="0004430D" w:rsidRDefault="00077FC7" w:rsidP="0004430D">
      <w:pPr>
        <w:spacing w:after="240" w:line="360" w:lineRule="auto"/>
        <w:jc w:val="both"/>
        <w:rPr>
          <w:sz w:val="22"/>
          <w:szCs w:val="22"/>
        </w:rPr>
      </w:pPr>
      <w:r w:rsidRPr="0004430D">
        <w:rPr>
          <w:b/>
          <w:bCs/>
          <w:sz w:val="22"/>
          <w:szCs w:val="22"/>
        </w:rPr>
        <w:t>VISTO:</w:t>
      </w:r>
    </w:p>
    <w:p w:rsidR="00077FC7" w:rsidRPr="0004430D" w:rsidRDefault="003A4881" w:rsidP="0004430D">
      <w:pPr>
        <w:spacing w:after="240" w:line="360" w:lineRule="auto"/>
        <w:jc w:val="both"/>
        <w:rPr>
          <w:sz w:val="22"/>
          <w:szCs w:val="22"/>
        </w:rPr>
      </w:pPr>
      <w:r w:rsidRPr="003A4881">
        <w:rPr>
          <w:sz w:val="22"/>
          <w:szCs w:val="22"/>
        </w:rPr>
        <w:t>La situación generada por los montos alcanzados por las facturas del servicio público de distribución de energía eléctrica emitidas por EDEA S.A. en el Partido de Chascomús; los reclamos recibidos por este Honorable Cuerpo por parte de vecinos, comerciantes, productores y entidades intermedias; los antecedentes obrantes en las Comunicaciones N° 4020/C y N° 4045/C de este Honorable Concejo Deliberante</w:t>
      </w:r>
      <w:r w:rsidR="0004430D" w:rsidRPr="0004430D">
        <w:rPr>
          <w:sz w:val="22"/>
          <w:szCs w:val="22"/>
        </w:rPr>
        <w:t xml:space="preserve">, </w:t>
      </w:r>
      <w:r w:rsidR="00C64D7D" w:rsidRPr="0004430D">
        <w:rPr>
          <w:sz w:val="22"/>
          <w:szCs w:val="22"/>
        </w:rPr>
        <w:t>y;</w:t>
      </w:r>
    </w:p>
    <w:p w:rsidR="00077FC7" w:rsidRPr="0004430D" w:rsidRDefault="00077FC7" w:rsidP="0004430D">
      <w:pPr>
        <w:spacing w:after="240" w:line="360" w:lineRule="auto"/>
        <w:jc w:val="both"/>
        <w:rPr>
          <w:sz w:val="22"/>
          <w:szCs w:val="22"/>
        </w:rPr>
      </w:pPr>
      <w:r w:rsidRPr="0004430D">
        <w:rPr>
          <w:b/>
          <w:bCs/>
          <w:sz w:val="22"/>
          <w:szCs w:val="22"/>
        </w:rPr>
        <w:t>CONSIDERANDO:</w:t>
      </w:r>
    </w:p>
    <w:p w:rsidR="003A4881" w:rsidRPr="003A4881" w:rsidRDefault="003A4881" w:rsidP="003A4881">
      <w:pPr>
        <w:spacing w:after="240" w:line="360" w:lineRule="auto"/>
        <w:jc w:val="both"/>
        <w:rPr>
          <w:sz w:val="22"/>
          <w:szCs w:val="22"/>
        </w:rPr>
      </w:pPr>
      <w:r w:rsidRPr="003A4881">
        <w:rPr>
          <w:sz w:val="22"/>
          <w:szCs w:val="22"/>
        </w:rPr>
        <w:t>Que el suministro de energía eléctrica constituye un servicio público esencial, prestado en el Partido de Chascomús por EDEA S.A. bajo un régimen de concesión exclusiva sobre un área de servicio determinada;</w:t>
      </w:r>
    </w:p>
    <w:p w:rsidR="003A4881" w:rsidRPr="003A4881" w:rsidRDefault="003A4881" w:rsidP="003A4881">
      <w:pPr>
        <w:spacing w:after="240" w:line="360" w:lineRule="auto"/>
        <w:jc w:val="both"/>
        <w:rPr>
          <w:sz w:val="22"/>
          <w:szCs w:val="22"/>
        </w:rPr>
      </w:pPr>
      <w:r w:rsidRPr="003A4881">
        <w:rPr>
          <w:sz w:val="22"/>
          <w:szCs w:val="22"/>
        </w:rPr>
        <w:t>Que se trata, por su propia configuración técnica y jurídica, de un servicio prestado en condiciones monopólicas, en tanto el usuario no elige al prestador, no negocia las condiciones de prestación, no puede migrar hacia otro proveedor ante un servicio deficiente o una facturación que considera incorrecta, ni tampoco puede interrumpir el consumo sin comprometer condiciones básicas de vida, habitabilidad o trabajo;</w:t>
      </w:r>
    </w:p>
    <w:p w:rsidR="003A4881" w:rsidRPr="003A4881" w:rsidRDefault="003A4881" w:rsidP="003A4881">
      <w:pPr>
        <w:spacing w:after="240" w:line="360" w:lineRule="auto"/>
        <w:jc w:val="both"/>
        <w:rPr>
          <w:sz w:val="22"/>
          <w:szCs w:val="22"/>
        </w:rPr>
      </w:pPr>
      <w:r w:rsidRPr="003A4881">
        <w:rPr>
          <w:sz w:val="22"/>
          <w:szCs w:val="22"/>
        </w:rPr>
        <w:lastRenderedPageBreak/>
        <w:t>Que dicha situación coloca al usuario en una posición de especial vulnerabilidad frente al prestador, razón por la cual la regulación y el control estatal adquieren una relevancia sustancial como mecanismos destinados a garantizar el equilibrio de una relación estructuralmente asimétrica;</w:t>
      </w:r>
    </w:p>
    <w:p w:rsidR="003A4881" w:rsidRPr="003A4881" w:rsidRDefault="003A4881" w:rsidP="003A4881">
      <w:pPr>
        <w:spacing w:after="240" w:line="360" w:lineRule="auto"/>
        <w:jc w:val="both"/>
        <w:rPr>
          <w:sz w:val="22"/>
          <w:szCs w:val="22"/>
        </w:rPr>
      </w:pPr>
      <w:r w:rsidRPr="003A4881">
        <w:rPr>
          <w:sz w:val="22"/>
          <w:szCs w:val="22"/>
        </w:rPr>
        <w:t>Que el artículo 42 de la Constitución Nacional reconoce expresamente a los consumidores y</w:t>
      </w:r>
      <w:r>
        <w:rPr>
          <w:sz w:val="22"/>
          <w:szCs w:val="22"/>
        </w:rPr>
        <w:t xml:space="preserve"> usuarios de bienes y servicios, el derecho</w:t>
      </w:r>
      <w:r w:rsidRPr="003A4881">
        <w:rPr>
          <w:sz w:val="22"/>
          <w:szCs w:val="22"/>
        </w:rPr>
        <w:t xml:space="preserve"> en la relación de consumo, a la protección de sus intereses económicos, a una información adecuada y veraz, a la libertad de elección y a condiciones de trato equitativo y digno, imponiendo asimismo a las autoridades el deber de proveer a la protección de esos derechos, al control de los monopolios naturales y legales y a la calidad y eficiencia de los servicios públicos;</w:t>
      </w:r>
    </w:p>
    <w:p w:rsidR="003A4881" w:rsidRPr="003A4881" w:rsidRDefault="003A4881" w:rsidP="003A4881">
      <w:pPr>
        <w:spacing w:after="240" w:line="360" w:lineRule="auto"/>
        <w:jc w:val="both"/>
        <w:rPr>
          <w:sz w:val="22"/>
          <w:szCs w:val="22"/>
        </w:rPr>
      </w:pPr>
      <w:r w:rsidRPr="003A4881">
        <w:rPr>
          <w:sz w:val="22"/>
          <w:szCs w:val="22"/>
        </w:rPr>
        <w:t>Que tales principios encuentran desarrollo en la Ley Nacional N° 24.240 de Defensa del Consumidor y en el régimen provincial aplicable al servicio público de distribución de energía eléctrica;</w:t>
      </w:r>
    </w:p>
    <w:p w:rsidR="003A4881" w:rsidRPr="003A4881" w:rsidRDefault="003A4881" w:rsidP="003A4881">
      <w:pPr>
        <w:spacing w:after="240" w:line="360" w:lineRule="auto"/>
        <w:jc w:val="both"/>
        <w:rPr>
          <w:sz w:val="22"/>
          <w:szCs w:val="22"/>
        </w:rPr>
      </w:pPr>
      <w:r w:rsidRPr="003A4881">
        <w:rPr>
          <w:sz w:val="22"/>
          <w:szCs w:val="22"/>
        </w:rPr>
        <w:t>Que, en este contexto, toda la protección que en otros mercados puede proveer la competencia debe ser suplida, en éste, por una regulación efectiva y un adecuado control estatal;</w:t>
      </w:r>
    </w:p>
    <w:p w:rsidR="003A4881" w:rsidRPr="003A4881" w:rsidRDefault="003A4881" w:rsidP="003A4881">
      <w:pPr>
        <w:spacing w:after="240" w:line="360" w:lineRule="auto"/>
        <w:jc w:val="both"/>
        <w:rPr>
          <w:sz w:val="22"/>
          <w:szCs w:val="22"/>
        </w:rPr>
      </w:pPr>
      <w:r w:rsidRPr="003A4881">
        <w:rPr>
          <w:sz w:val="22"/>
          <w:szCs w:val="22"/>
        </w:rPr>
        <w:t>Que ésa constituye precisamente una de las funciones esenciales del Organismo de Control de Energía Eléctrica de la Provincia de Buenos Aires (OCEBA), conforme al marco regulatorio establecido por la Ley Provincial N° 11.769, cuya intervención representa una garantía sustancial para la tutela de los derechos de los usuarios del servicio eléctrico;</w:t>
      </w:r>
    </w:p>
    <w:p w:rsidR="003A4881" w:rsidRPr="003A4881" w:rsidRDefault="003A4881" w:rsidP="003A4881">
      <w:pPr>
        <w:spacing w:after="240" w:line="360" w:lineRule="auto"/>
        <w:jc w:val="both"/>
        <w:rPr>
          <w:sz w:val="22"/>
          <w:szCs w:val="22"/>
        </w:rPr>
      </w:pPr>
      <w:r w:rsidRPr="003A4881">
        <w:rPr>
          <w:sz w:val="22"/>
          <w:szCs w:val="22"/>
        </w:rPr>
        <w:t>Que en los últimos meses se ha verificado un salto abrupto en los importes facturados que, en numerosos casos, se produjo de un período al inmediato siguiente, sin aviso previo, sin información anticipada al usuario y sin correlato con una variación equivalente del consumo registrado;</w:t>
      </w:r>
    </w:p>
    <w:p w:rsidR="003A4881" w:rsidRPr="003A4881" w:rsidRDefault="003A4881" w:rsidP="003A4881">
      <w:pPr>
        <w:spacing w:after="240" w:line="360" w:lineRule="auto"/>
        <w:jc w:val="both"/>
        <w:rPr>
          <w:sz w:val="22"/>
          <w:szCs w:val="22"/>
        </w:rPr>
      </w:pPr>
      <w:r w:rsidRPr="003A4881">
        <w:rPr>
          <w:sz w:val="22"/>
          <w:szCs w:val="22"/>
        </w:rPr>
        <w:t>Que dicho salto obedece a la conjunción de dos factores simultáneos: por un lado, la reformulación del esquema nacional de subsidios —Decreto N° 943/2025, que instituyó el Régimen de Subsidios Energéticos Focalizados (SEF), y su reglamentación, con topes de consumo base—; y, por otro, los sucesivos cuadros tarifarios aprobados por el Ministerio de Infraestructura y Servicios Públicos de la Provincia de Buenos Aires;</w:t>
      </w:r>
    </w:p>
    <w:p w:rsidR="003A4881" w:rsidRPr="003A4881" w:rsidRDefault="003A4881" w:rsidP="003A4881">
      <w:pPr>
        <w:spacing w:after="240" w:line="360" w:lineRule="auto"/>
        <w:jc w:val="both"/>
        <w:rPr>
          <w:sz w:val="22"/>
          <w:szCs w:val="22"/>
        </w:rPr>
      </w:pPr>
      <w:r w:rsidRPr="003A4881">
        <w:rPr>
          <w:sz w:val="22"/>
          <w:szCs w:val="22"/>
        </w:rPr>
        <w:t>Que el resultado de esa superposición ha sido un incremento acumulado que, según la categoría y el nivel de consumo, excede largamente la evolución de los ingresos de los hogares, de las jubilaciones y de la facturación de los comercios y pequeñas empresas del Partido;</w:t>
      </w:r>
    </w:p>
    <w:p w:rsidR="003A4881" w:rsidRPr="003A4881" w:rsidRDefault="003A4881" w:rsidP="003A4881">
      <w:pPr>
        <w:spacing w:after="240" w:line="360" w:lineRule="auto"/>
        <w:jc w:val="both"/>
        <w:rPr>
          <w:sz w:val="22"/>
          <w:szCs w:val="22"/>
        </w:rPr>
      </w:pPr>
      <w:r w:rsidRPr="003A4881">
        <w:rPr>
          <w:sz w:val="22"/>
          <w:szCs w:val="22"/>
        </w:rPr>
        <w:lastRenderedPageBreak/>
        <w:t>Que numerosos usuarios no se encuentran empadronados en el registro que habilita el acceso al subsidio y, en consecuencia, reciben su factura sin beneficio alguno, sin haber sido debidamente informados ni asistidos para regularizar dicha situación;</w:t>
      </w:r>
    </w:p>
    <w:p w:rsidR="003A4881" w:rsidRPr="003A4881" w:rsidRDefault="003A4881" w:rsidP="003A4881">
      <w:pPr>
        <w:spacing w:after="240" w:line="360" w:lineRule="auto"/>
        <w:jc w:val="both"/>
        <w:rPr>
          <w:sz w:val="22"/>
          <w:szCs w:val="22"/>
        </w:rPr>
      </w:pPr>
      <w:r w:rsidRPr="003A4881">
        <w:rPr>
          <w:sz w:val="22"/>
          <w:szCs w:val="22"/>
        </w:rPr>
        <w:t>Que la carga de acreditar el derecho a acceder al beneficio no puede convertirse, por deficiencias en la información o dificultades en el acceso al procedimiento correspondiente, en la pérdida lisa y llana del derecho;</w:t>
      </w:r>
    </w:p>
    <w:p w:rsidR="003A4881" w:rsidRPr="003A4881" w:rsidRDefault="003A4881" w:rsidP="003A4881">
      <w:pPr>
        <w:spacing w:after="240" w:line="360" w:lineRule="auto"/>
        <w:jc w:val="both"/>
        <w:rPr>
          <w:sz w:val="22"/>
          <w:szCs w:val="22"/>
        </w:rPr>
      </w:pPr>
      <w:r w:rsidRPr="003A4881">
        <w:rPr>
          <w:sz w:val="22"/>
          <w:szCs w:val="22"/>
        </w:rPr>
        <w:t>Que se han recibido, asimismo, planteos vinculados al recambio de medidores por equipos electrónicos y a la aparición, inmediatamente posterior, de registros de consumo notoriamente superiores a los históricos del mismo período, sin que mediara verificación ni contraste del equipo de medición;</w:t>
      </w:r>
    </w:p>
    <w:p w:rsidR="003A4881" w:rsidRPr="003A4881" w:rsidRDefault="003A4881" w:rsidP="003A4881">
      <w:pPr>
        <w:spacing w:after="240" w:line="360" w:lineRule="auto"/>
        <w:jc w:val="both"/>
        <w:rPr>
          <w:sz w:val="22"/>
          <w:szCs w:val="22"/>
        </w:rPr>
      </w:pPr>
      <w:r w:rsidRPr="003A4881">
        <w:rPr>
          <w:sz w:val="22"/>
          <w:szCs w:val="22"/>
        </w:rPr>
        <w:t>Que el artículo 31 de la Ley N° 24.240 establece mecanismos específicos de tutela frente a errores de facturación en los servicios públicos domiciliarios y contempla el supuesto en que el consumo facturado exceda en un setenta y cinco por ciento (75 %) el promedio de los consumos correspondientes al mismo período de los dos (2) años anteriores;</w:t>
      </w:r>
    </w:p>
    <w:p w:rsidR="003A4881" w:rsidRPr="003A4881" w:rsidRDefault="003A4881" w:rsidP="003A4881">
      <w:pPr>
        <w:spacing w:after="240" w:line="360" w:lineRule="auto"/>
        <w:jc w:val="both"/>
        <w:rPr>
          <w:sz w:val="22"/>
          <w:szCs w:val="22"/>
        </w:rPr>
      </w:pPr>
      <w:r w:rsidRPr="003A4881">
        <w:rPr>
          <w:sz w:val="22"/>
          <w:szCs w:val="22"/>
        </w:rPr>
        <w:t>Que, no obstante contar con esa herramienta legal, en los hechos el usuario que objeta su factura ve correr igualmente el vencimiento, la mora y los intereses y queda expuesto a la suspensión del suministro mientras su reclamo permanece sin resolución fundada y sin que se haya practicado la verificación o el contraste del medidor;</w:t>
      </w:r>
    </w:p>
    <w:p w:rsidR="003A4881" w:rsidRPr="003A4881" w:rsidRDefault="003A4881" w:rsidP="003A4881">
      <w:pPr>
        <w:spacing w:after="240" w:line="360" w:lineRule="auto"/>
        <w:jc w:val="both"/>
        <w:rPr>
          <w:sz w:val="22"/>
          <w:szCs w:val="22"/>
        </w:rPr>
      </w:pPr>
      <w:r w:rsidRPr="003A4881">
        <w:rPr>
          <w:sz w:val="22"/>
          <w:szCs w:val="22"/>
        </w:rPr>
        <w:t>Que exigir el pago íntegro, bajo apercibimiento de corte, de una factura cuya corrección constituye precisamente el objeto de un reclamo pendiente merece ser analizado a la luz de los principios de buena fe, trato digno y protección de los intereses económicos del consumidor, máxime cuando su esclarecimiento depende de una diligencia técnica que se encuentra a cargo de la propia distribuidora;</w:t>
      </w:r>
    </w:p>
    <w:p w:rsidR="003A4881" w:rsidRPr="003A4881" w:rsidRDefault="003A4881" w:rsidP="003A4881">
      <w:pPr>
        <w:spacing w:after="240" w:line="360" w:lineRule="auto"/>
        <w:jc w:val="both"/>
        <w:rPr>
          <w:sz w:val="22"/>
          <w:szCs w:val="22"/>
        </w:rPr>
      </w:pPr>
      <w:r w:rsidRPr="003A4881">
        <w:rPr>
          <w:sz w:val="22"/>
          <w:szCs w:val="22"/>
        </w:rPr>
        <w:t>Que el corte del suministro eléctrico no constituye una consecuencia meramente patrimonial, sino que puede comprometer la conservación de alimentos y medicamentos, la calefacción, el funcionamiento de equipos de asistencia médica domiciliaria, la actividad comercial y productiva y, particularmente durante el invierno, condiciones elementales de habitabilidad;</w:t>
      </w:r>
    </w:p>
    <w:p w:rsidR="003A4881" w:rsidRPr="003A4881" w:rsidRDefault="003A4881" w:rsidP="003A4881">
      <w:pPr>
        <w:spacing w:after="240" w:line="360" w:lineRule="auto"/>
        <w:jc w:val="both"/>
        <w:rPr>
          <w:sz w:val="22"/>
          <w:szCs w:val="22"/>
        </w:rPr>
      </w:pPr>
      <w:r w:rsidRPr="003A4881">
        <w:rPr>
          <w:sz w:val="22"/>
          <w:szCs w:val="22"/>
        </w:rPr>
        <w:t xml:space="preserve">Que existe un antecedente inmediato, cercano y directamente aplicable: en el Partido de La Costa, tras la intervención del Municipio y de su Oficina Municipal de Información al Consumidor, EDEA </w:t>
      </w:r>
      <w:r w:rsidRPr="003A4881">
        <w:rPr>
          <w:sz w:val="22"/>
          <w:szCs w:val="22"/>
        </w:rPr>
        <w:lastRenderedPageBreak/>
        <w:t>S.A. acordó suspender los cortes de suministro por falta de pago y revisar caso por caso las facturas objetadas;</w:t>
      </w:r>
    </w:p>
    <w:p w:rsidR="003A4881" w:rsidRPr="003A4881" w:rsidRDefault="003A4881" w:rsidP="003A4881">
      <w:pPr>
        <w:spacing w:after="240" w:line="360" w:lineRule="auto"/>
        <w:jc w:val="both"/>
        <w:rPr>
          <w:sz w:val="22"/>
          <w:szCs w:val="22"/>
        </w:rPr>
      </w:pPr>
      <w:r w:rsidRPr="003A4881">
        <w:rPr>
          <w:sz w:val="22"/>
          <w:szCs w:val="22"/>
        </w:rPr>
        <w:t>Que dicho antecedente demuestra que la solución aquí peticionada resulta materialmente posible y susceptible de ser gestionada institucionalmente para su implementación en el Partido de Chascomús;</w:t>
      </w:r>
    </w:p>
    <w:p w:rsidR="003A4881" w:rsidRPr="003A4881" w:rsidRDefault="003A4881" w:rsidP="003A4881">
      <w:pPr>
        <w:spacing w:after="240" w:line="360" w:lineRule="auto"/>
        <w:jc w:val="both"/>
        <w:rPr>
          <w:sz w:val="22"/>
          <w:szCs w:val="22"/>
        </w:rPr>
      </w:pPr>
      <w:r w:rsidRPr="003A4881">
        <w:rPr>
          <w:sz w:val="22"/>
          <w:szCs w:val="22"/>
        </w:rPr>
        <w:t>Que la Oficina Municipal de Información al Consumidor (OMIC) constituye la instancia local de defensa del consumidor y la vía institucional más próxima y accesible con que cuenta el vecino para canalizar un reclamo frente a una empresa prestadora de un servicio público;</w:t>
      </w:r>
    </w:p>
    <w:p w:rsidR="003A4881" w:rsidRPr="003A4881" w:rsidRDefault="003A4881" w:rsidP="003A4881">
      <w:pPr>
        <w:spacing w:after="240" w:line="360" w:lineRule="auto"/>
        <w:jc w:val="both"/>
        <w:rPr>
          <w:sz w:val="22"/>
          <w:szCs w:val="22"/>
        </w:rPr>
      </w:pPr>
      <w:r w:rsidRPr="003A4881">
        <w:rPr>
          <w:sz w:val="22"/>
          <w:szCs w:val="22"/>
        </w:rPr>
        <w:t>Que el usuario que enfrenta actualmente una factura que considera errónea debe transitar un circuito que le resulta ajeno: reclamar inicialmente ante la distribuidora, obtener un número de reclamo, aguardar el plazo correspondiente y, posteriormente, acudir ante el organismo provincial de control;</w:t>
      </w:r>
    </w:p>
    <w:p w:rsidR="003A4881" w:rsidRPr="003A4881" w:rsidRDefault="003A4881" w:rsidP="003A4881">
      <w:pPr>
        <w:spacing w:after="240" w:line="360" w:lineRule="auto"/>
        <w:jc w:val="both"/>
        <w:rPr>
          <w:sz w:val="22"/>
          <w:szCs w:val="22"/>
        </w:rPr>
      </w:pPr>
      <w:r w:rsidRPr="003A4881">
        <w:rPr>
          <w:sz w:val="22"/>
          <w:szCs w:val="22"/>
        </w:rPr>
        <w:t>Que dicho recorrido puede resultar, para quien no cuenta con información o asistencia suficiente, complejo y disuasivo para el ejercicio efectivo de sus derechos;</w:t>
      </w:r>
    </w:p>
    <w:p w:rsidR="003A4881" w:rsidRPr="003A4881" w:rsidRDefault="003A4881" w:rsidP="003A4881">
      <w:pPr>
        <w:spacing w:after="240" w:line="360" w:lineRule="auto"/>
        <w:jc w:val="both"/>
        <w:rPr>
          <w:sz w:val="22"/>
          <w:szCs w:val="22"/>
        </w:rPr>
      </w:pPr>
      <w:r w:rsidRPr="003A4881">
        <w:rPr>
          <w:sz w:val="22"/>
          <w:szCs w:val="22"/>
        </w:rPr>
        <w:t>Que la intervención municipal permite que los reclamos individuales sean asistidos, documentados y sistematizados, fortaleciendo su tratamiento institucional y posibilitando, a su vez, la identificación de problemáticas comunes o de alcance colectivo;</w:t>
      </w:r>
    </w:p>
    <w:p w:rsidR="003A4881" w:rsidRPr="003A4881" w:rsidRDefault="003A4881" w:rsidP="003A4881">
      <w:pPr>
        <w:spacing w:after="240" w:line="360" w:lineRule="auto"/>
        <w:jc w:val="both"/>
        <w:rPr>
          <w:sz w:val="22"/>
          <w:szCs w:val="22"/>
        </w:rPr>
      </w:pPr>
      <w:r w:rsidRPr="003A4881">
        <w:rPr>
          <w:sz w:val="22"/>
          <w:szCs w:val="22"/>
        </w:rPr>
        <w:t>Que resulta necesario, además, que el Municipio disponga de información propia y agregada acerca de la dimensión real del problema en el Partido —cantidad de usuarios afectados, barrios, montos involucrados y categorías tarifarias—, información de la que actualmente no se dispone y que resulta necesaria para sustentar adecuadamente las gestiones que correspondan ante la empresa distribuidora y los organismos provinciales competentes;</w:t>
      </w:r>
    </w:p>
    <w:p w:rsidR="003A4881" w:rsidRPr="003A4881" w:rsidRDefault="003A4881" w:rsidP="003A4881">
      <w:pPr>
        <w:spacing w:after="240" w:line="360" w:lineRule="auto"/>
        <w:jc w:val="both"/>
        <w:rPr>
          <w:sz w:val="22"/>
          <w:szCs w:val="22"/>
        </w:rPr>
      </w:pPr>
      <w:r w:rsidRPr="003A4881">
        <w:rPr>
          <w:sz w:val="22"/>
          <w:szCs w:val="22"/>
        </w:rPr>
        <w:t>Que el acompañamiento del Estado municipal en esta instancia no supone arrogarse competencias regulatorias o tarifarias propias de otras jurisdicciones, sino ejercer las funciones que le corresponden en materia de información, asistencia y protección de los consumidores y usuarios, articulando las actuaciones con los organismos competentes;</w:t>
      </w:r>
    </w:p>
    <w:p w:rsidR="003A4881" w:rsidRPr="003A4881" w:rsidRDefault="003A4881" w:rsidP="003A4881">
      <w:pPr>
        <w:spacing w:after="240" w:line="360" w:lineRule="auto"/>
        <w:jc w:val="both"/>
        <w:rPr>
          <w:sz w:val="22"/>
          <w:szCs w:val="22"/>
        </w:rPr>
      </w:pPr>
      <w:r w:rsidRPr="003A4881">
        <w:rPr>
          <w:sz w:val="22"/>
          <w:szCs w:val="22"/>
        </w:rPr>
        <w:t xml:space="preserve">Que constituye una atribución institucional propia de este Honorable Concejo Deliberante receptar y exponer ante los organismos competentes las preocupaciones y problemáticas de los vecinos del </w:t>
      </w:r>
      <w:r w:rsidRPr="003A4881">
        <w:rPr>
          <w:sz w:val="22"/>
          <w:szCs w:val="22"/>
        </w:rPr>
        <w:lastRenderedPageBreak/>
        <w:t>Partido de Chascomús, así como peticionar la adopción de medidas destinadas a brindar respuestas frente a situaciones que afectan a la comunidad;</w:t>
      </w:r>
    </w:p>
    <w:p w:rsidR="003A4881" w:rsidRPr="003A4881" w:rsidRDefault="003A4881" w:rsidP="003A4881">
      <w:pPr>
        <w:spacing w:after="240" w:line="360" w:lineRule="auto"/>
        <w:jc w:val="both"/>
        <w:rPr>
          <w:sz w:val="22"/>
          <w:szCs w:val="22"/>
        </w:rPr>
      </w:pPr>
      <w:r w:rsidRPr="003A4881">
        <w:rPr>
          <w:sz w:val="22"/>
          <w:szCs w:val="22"/>
        </w:rPr>
        <w:t>Que el presente proyecto no se limita al señalamiento de un problema, sino que propone medidas concretas, determinadas y materialmente posibles: la suspensión de vencimientos y cortes mientras el reclamo se encuentre pendiente; el contraste del medidor sin cargo previo; la información anticipada de modificaciones tarifarias; el empadronamiento asistido en el régimen de subsidios; y el fortalecimiento de la asistencia municipal al usuario;</w:t>
      </w:r>
    </w:p>
    <w:p w:rsidR="003A4881" w:rsidRPr="003A4881" w:rsidRDefault="003A4881" w:rsidP="003A4881">
      <w:pPr>
        <w:spacing w:after="240" w:line="360" w:lineRule="auto"/>
        <w:jc w:val="both"/>
        <w:rPr>
          <w:sz w:val="22"/>
          <w:szCs w:val="22"/>
        </w:rPr>
      </w:pPr>
      <w:r w:rsidRPr="003A4881">
        <w:rPr>
          <w:sz w:val="22"/>
          <w:szCs w:val="22"/>
        </w:rPr>
        <w:t>Que varias de dichas medidas ya han sido implementadas en un partido vecino perteneciente a la misma área de concesión, constituyendo un antecedente concreto que justifica impulsar gestiones análogas en beneficio de los usuarios del Partido de Chascomús;</w:t>
      </w:r>
    </w:p>
    <w:p w:rsidR="003A4881" w:rsidRPr="003A4881" w:rsidRDefault="003A4881" w:rsidP="003A4881">
      <w:pPr>
        <w:spacing w:after="240" w:line="360" w:lineRule="auto"/>
        <w:jc w:val="both"/>
        <w:rPr>
          <w:sz w:val="22"/>
          <w:szCs w:val="22"/>
        </w:rPr>
      </w:pPr>
      <w:r w:rsidRPr="003A4881">
        <w:rPr>
          <w:sz w:val="22"/>
          <w:szCs w:val="22"/>
        </w:rPr>
        <w:t>Que, por todo lo expuesto, corresponde a este Honorable Cuerpo requerir la intervención de los organismos competentes y solicitar al Departamento Ejecutivo Municipal la adopción de medidas concretas dentro del ámbito de sus atribuciones;</w:t>
      </w:r>
    </w:p>
    <w:p w:rsidR="009959C0" w:rsidRPr="0004430D" w:rsidRDefault="004D37EE" w:rsidP="0004430D">
      <w:pPr>
        <w:spacing w:after="240" w:line="360" w:lineRule="auto"/>
        <w:jc w:val="both"/>
        <w:rPr>
          <w:sz w:val="22"/>
          <w:szCs w:val="22"/>
        </w:rPr>
      </w:pPr>
      <w:r w:rsidRPr="0004430D">
        <w:rPr>
          <w:sz w:val="22"/>
          <w:szCs w:val="22"/>
        </w:rPr>
        <w:t xml:space="preserve">Por ello, los </w:t>
      </w:r>
      <w:r w:rsidRPr="0004430D">
        <w:rPr>
          <w:b/>
          <w:sz w:val="22"/>
          <w:szCs w:val="22"/>
        </w:rPr>
        <w:t>Bloques POTENCIA y GEN,</w:t>
      </w:r>
      <w:r w:rsidRPr="0004430D">
        <w:rPr>
          <w:sz w:val="22"/>
          <w:szCs w:val="22"/>
        </w:rPr>
        <w:t xml:space="preserve"> en ejercicio de las atribuciones conferidas por la Ley Orgánica de las Municipalidades, proponen el siguiente:</w:t>
      </w:r>
    </w:p>
    <w:p w:rsidR="009959C0" w:rsidRPr="0004430D" w:rsidRDefault="00077FC7" w:rsidP="003A4881">
      <w:pPr>
        <w:spacing w:after="240" w:line="360" w:lineRule="auto"/>
        <w:jc w:val="center"/>
        <w:rPr>
          <w:b/>
          <w:bCs/>
          <w:sz w:val="22"/>
          <w:szCs w:val="22"/>
          <w:u w:val="single"/>
        </w:rPr>
      </w:pPr>
      <w:r w:rsidRPr="0004430D">
        <w:rPr>
          <w:b/>
          <w:bCs/>
          <w:sz w:val="22"/>
          <w:szCs w:val="22"/>
          <w:u w:val="single"/>
        </w:rPr>
        <w:t>PROYECTO DE COMUNICACIÓN</w:t>
      </w:r>
      <w:r w:rsidR="004D37EE" w:rsidRPr="0004430D">
        <w:rPr>
          <w:b/>
          <w:bCs/>
          <w:sz w:val="22"/>
          <w:szCs w:val="22"/>
          <w:u w:val="single"/>
        </w:rPr>
        <w:t>:</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1°.-</w:t>
      </w:r>
      <w:r w:rsidRPr="003A4881">
        <w:rPr>
          <w:sz w:val="22"/>
          <w:szCs w:val="22"/>
          <w:lang w:val="es-AR"/>
        </w:rPr>
        <w:t xml:space="preserve"> Hágase saber al Organismo de Control de Energía Eléctrica de la Provincia de Buenos Aires (OCEBA), a EDEA S.A. y al Ministerio de Infraestructura y Servicios Públicos de la Provincia de Buenos Aires la preocupación recogida por este Honorable Concejo Deliberante de parte de vecinos, comerciantes, productores y entidades intermedias del Partido de Chascomús ante los montos alcanzados por las facturas del servicio público de distribución de energía eléctrica, que un número creciente de hogares, comercios, pequeñas empresas y productores declara encontrarse en la imposibilidad material de afrontar; y elévense a su consideración las medidas propuestas en los artículos siguientes.</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2°.-</w:t>
      </w:r>
      <w:r w:rsidRPr="003A4881">
        <w:rPr>
          <w:sz w:val="22"/>
          <w:szCs w:val="22"/>
          <w:lang w:val="es-AR"/>
        </w:rPr>
        <w:t xml:space="preserve"> Diríjase al Organismo de Control de Energía Eléctrica de la Provincia de Buenos Aires (OCEBA), en su carácter de autoridad de control del servicio, solicitando que, en el marco de sus competencias:</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lastRenderedPageBreak/>
        <w:t>a)</w:t>
      </w:r>
      <w:r w:rsidRPr="003A4881">
        <w:rPr>
          <w:sz w:val="22"/>
          <w:szCs w:val="22"/>
          <w:lang w:val="es-AR"/>
        </w:rPr>
        <w:t xml:space="preserve"> Instruya a EDEA S.A. a abstenerse de disponer la suspensión o el corte del suministro y de computar mora, intereses o gastos administrativos respecto de los usuarios que hubieran formulado reclamo por facturación o consumo excesivo, mientras dicho reclamo no cuente con resolución fundada y debidamente notificada y no se hubiere practicado la verificación y/o el contraste del equipo de medición.</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b)</w:t>
      </w:r>
      <w:r w:rsidRPr="003A4881">
        <w:rPr>
          <w:sz w:val="22"/>
          <w:szCs w:val="22"/>
          <w:lang w:val="es-AR"/>
        </w:rPr>
        <w:t xml:space="preserve"> Disponga, en igual sentido, la prórroga de los vencimientos de las facturas objetadas hasta la efectiva resolución del reclamo, garantizando que el usuario que optare por el mecanismo previsto en el artículo 31 de la Ley N° 24.240 no sea considerado en mora por abonar el consumo promedio allí contemplado.</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c)</w:t>
      </w:r>
      <w:r w:rsidRPr="003A4881">
        <w:rPr>
          <w:sz w:val="22"/>
          <w:szCs w:val="22"/>
          <w:lang w:val="es-AR"/>
        </w:rPr>
        <w:t xml:space="preserve"> Establezca que la verificación y/o el contraste del equipo de medición solicitados por el usuario sean practicados sin cargo previo y dentro de un plazo cierto y acotado, sin perjuicio de la eventual repetición de gastos una vez acreditado el correcto funcionamiento del equipo.</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d)</w:t>
      </w:r>
      <w:r w:rsidRPr="003A4881">
        <w:rPr>
          <w:sz w:val="22"/>
          <w:szCs w:val="22"/>
          <w:lang w:val="es-AR"/>
        </w:rPr>
        <w:t xml:space="preserve"> Arbitre los medios necesarios para garantizar presencia territorial en el Partido de Chascomús mediante la realización de jornadas de atención al usuario, audiencias o puntos de recepción de reclamos, complementando los canales telefónicos o digitales actualmente disponibles.</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e)</w:t>
      </w:r>
      <w:r w:rsidRPr="003A4881">
        <w:rPr>
          <w:sz w:val="22"/>
          <w:szCs w:val="22"/>
          <w:lang w:val="es-AR"/>
        </w:rPr>
        <w:t xml:space="preserve"> Informe la cantidad, motivo, plazo de resolución y resultado de los reclamos originados en el Partido de Chascomús durante los últimos veinticuatro (24) meses, discriminando aquellos referidos a facturación y a consumo excesivo.</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f)</w:t>
      </w:r>
      <w:r w:rsidRPr="003A4881">
        <w:rPr>
          <w:sz w:val="22"/>
          <w:szCs w:val="22"/>
          <w:lang w:val="es-AR"/>
        </w:rPr>
        <w:t xml:space="preserve"> Informe el estado del plan de recambio de medidores en el Partido de Chascomús, indicando cantidad de equipos sustituidos, cronograma, marca y modelo, constancia de homologación y aprobación metrológica, protocolo de retiro y sustitución, registro de la lectura final del equipo retirado e inicial del instalado y modalidad de notificación al usuario.</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g)</w:t>
      </w:r>
      <w:r w:rsidRPr="003A4881">
        <w:rPr>
          <w:sz w:val="22"/>
          <w:szCs w:val="22"/>
          <w:lang w:val="es-AR"/>
        </w:rPr>
        <w:t xml:space="preserve"> Evalúe, en el marco de sus competencias, la aplicación de las sanciones previstas en el marco regulatorio y en el Contrato de Concesión ante eventuales apartamientos en la calidad del servicio comercial, particularmente respecto del cumplimiento de los plazos de atención y respuesta de los reclamos.</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lastRenderedPageBreak/>
        <w:t>h)</w:t>
      </w:r>
      <w:r w:rsidRPr="003A4881">
        <w:rPr>
          <w:sz w:val="22"/>
          <w:szCs w:val="22"/>
          <w:lang w:val="es-AR"/>
        </w:rPr>
        <w:t xml:space="preserve"> Audite el procedimiento de lectura, estimación y facturación aplicado por EDEA S.A. en el Partido de Chascomús, con especial atención a los períodos facturados mediante lectura estimada y a los reajustes posteriores derivados de diferencias con la lectura real.</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3°.-</w:t>
      </w:r>
      <w:r w:rsidRPr="003A4881">
        <w:rPr>
          <w:sz w:val="22"/>
          <w:szCs w:val="22"/>
          <w:lang w:val="es-AR"/>
        </w:rPr>
        <w:t xml:space="preserve"> Requiérase a EDEA S.A., en su carácter de concesionaria del servicio en el Partido de Chascomús, que:</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w:t>
      </w:r>
      <w:r w:rsidRPr="003A4881">
        <w:rPr>
          <w:sz w:val="22"/>
          <w:szCs w:val="22"/>
          <w:lang w:val="es-AR"/>
        </w:rPr>
        <w:t xml:space="preserve"> Suspenda de manera inmediata los cortes de suministro por falta de pago en el Partido de Chascomús mientras se sustancie la revisión de los reclamos, en los mismos términos acordados con el Municipio del Partido de La Costa.</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b)</w:t>
      </w:r>
      <w:r w:rsidRPr="003A4881">
        <w:rPr>
          <w:sz w:val="22"/>
          <w:szCs w:val="22"/>
          <w:lang w:val="es-AR"/>
        </w:rPr>
        <w:t xml:space="preserve"> Explique de manera pública, fundada y comprensible las razones de la variación registrada entre un período de facturación y el inmediato siguiente.</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c)</w:t>
      </w:r>
      <w:r w:rsidRPr="003A4881">
        <w:rPr>
          <w:sz w:val="22"/>
          <w:szCs w:val="22"/>
          <w:lang w:val="es-AR"/>
        </w:rPr>
        <w:t xml:space="preserve"> Discrimine en la factura, de forma clara y legible, cada uno de los componentes del importe final —precio mayorista de la energía, valor agregado de distribución, subsidio aplicado o su ausencia, impuestos y cargos—, de modo que el usuario pueda identificar el origen concreto del aumento.</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d)</w:t>
      </w:r>
      <w:r w:rsidRPr="003A4881">
        <w:rPr>
          <w:sz w:val="22"/>
          <w:szCs w:val="22"/>
          <w:lang w:val="es-AR"/>
        </w:rPr>
        <w:t xml:space="preserve"> Comunique con antelación suficiente y por medio fehaciente toda modificación del cuadro tarifario y todo cambio en el encuadramiento del usuario dentro del régimen de subsidios, con anterioridad a que la variación se refleje en la factura.</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e)</w:t>
      </w:r>
      <w:r w:rsidRPr="003A4881">
        <w:rPr>
          <w:sz w:val="22"/>
          <w:szCs w:val="22"/>
          <w:lang w:val="es-AR"/>
        </w:rPr>
        <w:t xml:space="preserve"> Implemente una campaña de empadronamiento asistido en el régimen de subsidios dirigida a los usuarios del Partido que aún no lo hubieran realizado y contemple la aplicación retroactiva del beneficio a quienes reunían los requisitos al momento de la facturación.</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f)</w:t>
      </w:r>
      <w:r w:rsidRPr="003A4881">
        <w:rPr>
          <w:sz w:val="22"/>
          <w:szCs w:val="22"/>
          <w:lang w:val="es-AR"/>
        </w:rPr>
        <w:t xml:space="preserve"> Refuerce la dotación y el horario de atención presencial de su oficina comercial en Chascomús y garantice la entrega de constancia y número de reclamo en todos los casos, conforme al artículo 30 bis de la Ley N° 24.240.</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g)</w:t>
      </w:r>
      <w:r w:rsidRPr="003A4881">
        <w:rPr>
          <w:sz w:val="22"/>
          <w:szCs w:val="22"/>
          <w:lang w:val="es-AR"/>
        </w:rPr>
        <w:t xml:space="preserve"> Ofrezca planes de regularización de deuda sin intereses ni punitorios para usuarios residenciales, entidades de bien público, clubes y pequeños comercios del Partido.</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lastRenderedPageBreak/>
        <w:t>ARTÍCULO 4°.-</w:t>
      </w:r>
      <w:r w:rsidRPr="003A4881">
        <w:rPr>
          <w:sz w:val="22"/>
          <w:szCs w:val="22"/>
          <w:lang w:val="es-AR"/>
        </w:rPr>
        <w:t xml:space="preserve"> Solicítase al Ministerio de Infraestructura y Servicios Públicos de la Provincia de Buenos Aires que evalúe la adopción de mecanismos destinados a atenuar el impacto tarifario sobre los usuarios residenciales, las entidades de bien público y las pequeñas y medianas empresas del interior bonaerense, e informe el cronograma previsto para la revisión de los cuadros tarifarios y las instancias de participación de los usuarios contempladas.</w:t>
      </w:r>
    </w:p>
    <w:p w:rsidR="003A4881" w:rsidRPr="003A4881" w:rsidRDefault="003A4881" w:rsidP="003A4881">
      <w:pPr>
        <w:pStyle w:val="NormalWeb"/>
        <w:spacing w:line="360" w:lineRule="auto"/>
        <w:jc w:val="both"/>
        <w:rPr>
          <w:b/>
          <w:bCs/>
          <w:sz w:val="22"/>
          <w:szCs w:val="22"/>
          <w:lang w:val="es-AR"/>
        </w:rPr>
      </w:pPr>
      <w:r w:rsidRPr="003A4881">
        <w:rPr>
          <w:b/>
          <w:bCs/>
          <w:sz w:val="22"/>
          <w:szCs w:val="22"/>
          <w:lang w:val="es-AR"/>
        </w:rPr>
        <w:t>II. ACCIONES REQUERIDAS AL DEPARTAMENTO EJECUTIVO</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5°.-</w:t>
      </w:r>
      <w:r w:rsidRPr="003A4881">
        <w:rPr>
          <w:sz w:val="22"/>
          <w:szCs w:val="22"/>
          <w:lang w:val="es-AR"/>
        </w:rPr>
        <w:t xml:space="preserve"> Requiérase al Departamento Ejecutivo que, a través de la Oficina Municipal de Información al Consumidor (OMIC), disponga un operativo extraordinario y transitorio de atención a usuarios del servicio público de distribución de energía eléctrica que contemple, como mínimo, la ampliación de los días y horarios de atención, la atención descentralizada y en modalidad online, y la asistencia en la confección y presentación de los reclamos.</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6°.-</w:t>
      </w:r>
      <w:r w:rsidRPr="003A4881">
        <w:rPr>
          <w:sz w:val="22"/>
          <w:szCs w:val="22"/>
          <w:lang w:val="es-AR"/>
        </w:rPr>
        <w:t xml:space="preserve"> </w:t>
      </w:r>
      <w:r w:rsidR="00DA4287" w:rsidRPr="003A4881">
        <w:rPr>
          <w:sz w:val="22"/>
          <w:szCs w:val="22"/>
          <w:lang w:val="es-AR"/>
        </w:rPr>
        <w:t>Encomiénd</w:t>
      </w:r>
      <w:r w:rsidR="00DA4287">
        <w:rPr>
          <w:sz w:val="22"/>
          <w:szCs w:val="22"/>
          <w:lang w:val="es-AR"/>
        </w:rPr>
        <w:t>a</w:t>
      </w:r>
      <w:bookmarkStart w:id="0" w:name="_GoBack"/>
      <w:bookmarkEnd w:id="0"/>
      <w:r w:rsidR="00DA4287" w:rsidRPr="003A4881">
        <w:rPr>
          <w:sz w:val="22"/>
          <w:szCs w:val="22"/>
          <w:lang w:val="es-AR"/>
        </w:rPr>
        <w:t>se</w:t>
      </w:r>
      <w:r w:rsidRPr="003A4881">
        <w:rPr>
          <w:sz w:val="22"/>
          <w:szCs w:val="22"/>
          <w:lang w:val="es-AR"/>
        </w:rPr>
        <w:t xml:space="preserve"> al Departamento Ejecutivo que, a través de la OMIC, elabore y difunda un instructivo y un modelo de nota de reclamo de uso libre, mediante los cuales se informe al usuario, en lenguaje claro, acerca de: el procedimiento de reclamo ante la distribuidora y la obtención de constancia y número de actuación; el derecho reconocido por el artículo 31 de la Ley N° 24.240 y el plazo de quince (15) días posteriores al vencimiento para ejercerlo, acompañando las facturas correspondientes a los períodos de comparación; el derecho a solicitar la verificación y el contraste del medidor; y la vía de elevación de la actuación ante el OCEBA.</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7°.-</w:t>
      </w:r>
      <w:r w:rsidRPr="003A4881">
        <w:rPr>
          <w:sz w:val="22"/>
          <w:szCs w:val="22"/>
          <w:lang w:val="es-AR"/>
        </w:rPr>
        <w:t xml:space="preserve"> Solicítase que la OMIC lleve un registro sistematizado de las presentaciones recibidas por esta causa, consignando fecha, categoría tarifaria, importe facturado, consumo registrado en el período y en el mismo período del año anterior, motivo del reclamo, estado del trámite y plazo de respuesta de la empresa; y que remita a este Honorable Cuerpo un informe mensual con los datos agregados y estadísticos resultantes.</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8°.-</w:t>
      </w:r>
      <w:r w:rsidRPr="003A4881">
        <w:rPr>
          <w:sz w:val="22"/>
          <w:szCs w:val="22"/>
          <w:lang w:val="es-AR"/>
        </w:rPr>
        <w:t xml:space="preserve"> Requiérase al Departamento Ejecutivo que convoque, con carácter urgente, a una mesa de trabajo con la gerencia local y la gerencia general de EDEA S.A., con el objeto de acordar para el Partido de Chascomús la suspensión de los cortes de suministro por falta de pago, la prórroga de los vencimientos de las facturas objetadas, la revisión caso por caso de los reclamos presentados </w:t>
      </w:r>
      <w:r w:rsidRPr="003A4881">
        <w:rPr>
          <w:sz w:val="22"/>
          <w:szCs w:val="22"/>
          <w:lang w:val="es-AR"/>
        </w:rPr>
        <w:lastRenderedPageBreak/>
        <w:t>y la implementación de planes de regularización sin intereses, en los mismos términos convenidos por el Municipio del Partido de La Costa.</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9°.-</w:t>
      </w:r>
      <w:r w:rsidRPr="003A4881">
        <w:rPr>
          <w:sz w:val="22"/>
          <w:szCs w:val="22"/>
          <w:lang w:val="es-AR"/>
        </w:rPr>
        <w:t xml:space="preserve"> Solicítase al Departamento Ejecutivo que, por intermedio de la OMIC, eleve al OCEBA las actuaciones que no hubieran obtenido resolución satisfactoria en la instancia de la distribuidora e impulse una presentación institucional de alcance colectivo que exponga la situación del Partido y peticione las medidas correspondientes, acompañando la información estadística prevista en el artículo 7°.</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10°.-</w:t>
      </w:r>
      <w:r w:rsidRPr="003A4881">
        <w:rPr>
          <w:sz w:val="22"/>
          <w:szCs w:val="22"/>
          <w:lang w:val="es-AR"/>
        </w:rPr>
        <w:t xml:space="preserve"> Solicítase al Departamento Ejecutivo que implemente una campaña de información y empadronamiento asistido en el Régimen de Subsidios Energéticos Focalizados, con puntos de atención en la OMIC y en los centros de atención barrial, priorizando a las personas mayores y a los hogares sin conectividad o sin acceso a trámites digitales.</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11°.-</w:t>
      </w:r>
      <w:r w:rsidRPr="003A4881">
        <w:rPr>
          <w:sz w:val="22"/>
          <w:szCs w:val="22"/>
          <w:lang w:val="es-AR"/>
        </w:rPr>
        <w:t xml:space="preserve"> Requiérase al Departamento Ejecutivo que informe a este Honorable Cuerpo, en el plazo de quince (15) días, los recursos humanos, materiales y presupuestarios con que cuenta actualmente la OMIC y si resulta necesario su refuerzo para atender la demanda extraordinaria descripta, a fin de que este Cuerpo arbitre los medios a su alcance.</w:t>
      </w:r>
    </w:p>
    <w:p w:rsidR="003A4881" w:rsidRPr="003A4881" w:rsidRDefault="003A4881" w:rsidP="003A4881">
      <w:pPr>
        <w:pStyle w:val="NormalWeb"/>
        <w:spacing w:line="360" w:lineRule="auto"/>
        <w:jc w:val="both"/>
        <w:rPr>
          <w:b/>
          <w:bCs/>
          <w:sz w:val="22"/>
          <w:szCs w:val="22"/>
          <w:lang w:val="es-AR"/>
        </w:rPr>
      </w:pPr>
      <w:r w:rsidRPr="003A4881">
        <w:rPr>
          <w:b/>
          <w:bCs/>
          <w:sz w:val="22"/>
          <w:szCs w:val="22"/>
          <w:lang w:val="es-AR"/>
        </w:rPr>
        <w:t>III. DISPOSICIONES FINALES</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12°.-</w:t>
      </w:r>
      <w:r w:rsidRPr="003A4881">
        <w:rPr>
          <w:sz w:val="22"/>
          <w:szCs w:val="22"/>
          <w:lang w:val="es-AR"/>
        </w:rPr>
        <w:t xml:space="preserve"> Remítase copia de la presente, con sus fundamentos, al Departamento Ejecutivo Municipal; al Organismo de Control de Energía Eléctrica de la Provincia de Buenos Aires (OCEBA); a EDEA S.A., gerencia local y gerencia general; al Ministerio de Infraestructura y Servicios Públicos de la Provincia de Buenos Aires; a la Defensoría del Pueblo de la Provincia de Buenos Aires; a los señores legisladores provinciales de la Quinta Sección Electoral; y a los Honorables Concejos Deliberantes de los partidos que integran el área de concesión, invitándolos a adherir a la presente.</w:t>
      </w:r>
    </w:p>
    <w:p w:rsidR="003A4881" w:rsidRPr="003A4881" w:rsidRDefault="003A4881" w:rsidP="003A4881">
      <w:pPr>
        <w:pStyle w:val="NormalWeb"/>
        <w:spacing w:line="360" w:lineRule="auto"/>
        <w:jc w:val="both"/>
        <w:rPr>
          <w:sz w:val="22"/>
          <w:szCs w:val="22"/>
          <w:lang w:val="es-AR"/>
        </w:rPr>
      </w:pPr>
      <w:r w:rsidRPr="003A4881">
        <w:rPr>
          <w:b/>
          <w:bCs/>
          <w:sz w:val="22"/>
          <w:szCs w:val="22"/>
          <w:lang w:val="es-AR"/>
        </w:rPr>
        <w:t>ARTÍCULO 13°.-</w:t>
      </w:r>
      <w:r w:rsidRPr="003A4881">
        <w:rPr>
          <w:sz w:val="22"/>
          <w:szCs w:val="22"/>
          <w:lang w:val="es-AR"/>
        </w:rPr>
        <w:t xml:space="preserve"> De forma.</w:t>
      </w:r>
    </w:p>
    <w:p w:rsidR="0004430D" w:rsidRPr="0004430D" w:rsidRDefault="0004430D" w:rsidP="0004430D">
      <w:pPr>
        <w:spacing w:after="240" w:line="360" w:lineRule="auto"/>
        <w:jc w:val="both"/>
        <w:rPr>
          <w:sz w:val="22"/>
          <w:szCs w:val="22"/>
          <w:u w:val="single"/>
        </w:rPr>
      </w:pPr>
    </w:p>
    <w:sectPr w:rsidR="0004430D" w:rsidRPr="0004430D">
      <w:headerReference w:type="default" r:id="rId7"/>
      <w:pgSz w:w="11906" w:h="16838"/>
      <w:pgMar w:top="1418" w:right="1418" w:bottom="1418" w:left="1701"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0C4" w:rsidRDefault="00E300C4" w:rsidP="005F2B45">
      <w:r>
        <w:separator/>
      </w:r>
    </w:p>
  </w:endnote>
  <w:endnote w:type="continuationSeparator" w:id="0">
    <w:p w:rsidR="00E300C4" w:rsidRDefault="00E300C4" w:rsidP="005F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0C4" w:rsidRDefault="00E300C4" w:rsidP="005F2B45">
      <w:r>
        <w:separator/>
      </w:r>
    </w:p>
  </w:footnote>
  <w:footnote w:type="continuationSeparator" w:id="0">
    <w:p w:rsidR="00E300C4" w:rsidRDefault="00E300C4" w:rsidP="005F2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B45" w:rsidRPr="005F2B45" w:rsidRDefault="005F2B45" w:rsidP="005F2B45">
    <w:pPr>
      <w:ind w:left="170"/>
      <w:jc w:val="center"/>
      <w:rPr>
        <w:rFonts w:ascii="Footlight MT Light" w:hAnsi="Footlight MT Light"/>
        <w:color w:val="000000"/>
        <w:sz w:val="20"/>
        <w:szCs w:val="20"/>
        <w:lang w:eastAsia="es-ES"/>
      </w:rPr>
    </w:pPr>
    <w:r w:rsidRPr="005F2B45">
      <w:rPr>
        <w:rFonts w:ascii="Footlight MT Light" w:hAnsi="Footlight MT Light"/>
        <w:noProof/>
        <w:color w:val="000000"/>
        <w:sz w:val="20"/>
        <w:szCs w:val="20"/>
        <w:lang w:eastAsia="es-AR"/>
      </w:rPr>
      <w:drawing>
        <wp:inline distT="0" distB="0" distL="0" distR="0" wp14:anchorId="5852DAFC" wp14:editId="7DA7CD49">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5F2B45" w:rsidRPr="005F2B45" w:rsidRDefault="005F2B45" w:rsidP="005F2B45">
    <w:pPr>
      <w:keepNext/>
      <w:ind w:left="170"/>
      <w:jc w:val="center"/>
      <w:outlineLvl w:val="0"/>
      <w:rPr>
        <w:b/>
        <w:bCs/>
        <w:color w:val="000000"/>
        <w:sz w:val="22"/>
        <w:szCs w:val="22"/>
        <w:lang w:eastAsia="es-ES"/>
      </w:rPr>
    </w:pPr>
    <w:r w:rsidRPr="005F2B45">
      <w:rPr>
        <w:b/>
        <w:bCs/>
        <w:color w:val="000000"/>
        <w:sz w:val="22"/>
        <w:szCs w:val="22"/>
        <w:lang w:eastAsia="es-ES"/>
      </w:rPr>
      <w:t>Honorable Concejo Deliberante</w:t>
    </w:r>
  </w:p>
  <w:p w:rsidR="005F2B45" w:rsidRPr="005F2B45" w:rsidRDefault="005F2B45" w:rsidP="005F2B45">
    <w:pPr>
      <w:ind w:left="170"/>
      <w:jc w:val="center"/>
      <w:rPr>
        <w:b/>
        <w:bCs/>
        <w:color w:val="000000"/>
        <w:sz w:val="22"/>
        <w:szCs w:val="22"/>
        <w:lang w:eastAsia="es-ES"/>
      </w:rPr>
    </w:pPr>
    <w:r w:rsidRPr="005F2B45">
      <w:rPr>
        <w:b/>
        <w:bCs/>
        <w:color w:val="000000"/>
        <w:sz w:val="22"/>
        <w:szCs w:val="22"/>
        <w:lang w:eastAsia="es-ES"/>
      </w:rPr>
      <w:t>Mitre 38 -    Chascomús</w:t>
    </w:r>
  </w:p>
  <w:p w:rsidR="005F2B45" w:rsidRPr="005F2B45" w:rsidRDefault="005F2B45" w:rsidP="005F2B45">
    <w:pPr>
      <w:ind w:left="170"/>
      <w:jc w:val="center"/>
      <w:rPr>
        <w:b/>
        <w:bCs/>
        <w:color w:val="000000"/>
        <w:sz w:val="22"/>
        <w:szCs w:val="22"/>
        <w:lang w:eastAsia="es-ES"/>
      </w:rPr>
    </w:pPr>
    <w:r w:rsidRPr="005F2B45">
      <w:rPr>
        <w:b/>
        <w:bCs/>
        <w:color w:val="000000"/>
        <w:sz w:val="22"/>
        <w:szCs w:val="22"/>
        <w:lang w:eastAsia="es-ES"/>
      </w:rPr>
      <w:t>Bloques POTENCIA - GEN</w:t>
    </w:r>
  </w:p>
  <w:p w:rsidR="005F2B45" w:rsidRPr="005F2B45" w:rsidRDefault="005F2B45" w:rsidP="005F2B45">
    <w:pPr>
      <w:ind w:left="170"/>
      <w:jc w:val="center"/>
      <w:rPr>
        <w:b/>
        <w:lang w:val="es-ES_tradnl" w:eastAsia="en-US"/>
      </w:rPr>
    </w:pPr>
    <w:r w:rsidRPr="005F2B45">
      <w:rPr>
        <w:b/>
        <w:bCs/>
        <w:color w:val="000000"/>
        <w:sz w:val="22"/>
        <w:szCs w:val="22"/>
        <w:lang w:eastAsia="es-ES"/>
      </w:rPr>
      <w:t>“</w:t>
    </w:r>
    <w:r w:rsidRPr="005F2B45">
      <w:rPr>
        <w:rFonts w:eastAsia="Calibri"/>
        <w:b/>
        <w:sz w:val="22"/>
        <w:szCs w:val="22"/>
        <w:lang w:val="es-ES" w:eastAsia="en-US"/>
      </w:rPr>
      <w:t>2026: Año del 200° Aniversario de la Escuela Primaria N° 1 “Bernardino Rivadavia”</w:t>
    </w:r>
  </w:p>
  <w:p w:rsidR="005F2B45" w:rsidRPr="005F2B45" w:rsidRDefault="005F2B45" w:rsidP="005F2B45">
    <w:pPr>
      <w:jc w:val="center"/>
      <w:rPr>
        <w:b/>
        <w:sz w:val="22"/>
        <w:szCs w:val="22"/>
        <w:lang w:val="es-ES" w:eastAsia="es-ES"/>
      </w:rPr>
    </w:pPr>
  </w:p>
  <w:p w:rsidR="005F2B45" w:rsidRPr="005F2B45" w:rsidRDefault="005F2B45">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0B269A"/>
    <w:multiLevelType w:val="hybridMultilevel"/>
    <w:tmpl w:val="250A3EC0"/>
    <w:lvl w:ilvl="0" w:tplc="CBC02D38">
      <w:start w:val="1"/>
      <w:numFmt w:val="bullet"/>
      <w:lvlText w:val="●"/>
      <w:lvlJc w:val="left"/>
      <w:pPr>
        <w:ind w:left="720" w:hanging="360"/>
      </w:pPr>
    </w:lvl>
    <w:lvl w:ilvl="1" w:tplc="2B18955E">
      <w:start w:val="1"/>
      <w:numFmt w:val="bullet"/>
      <w:lvlText w:val="○"/>
      <w:lvlJc w:val="left"/>
      <w:pPr>
        <w:ind w:left="1440" w:hanging="360"/>
      </w:pPr>
    </w:lvl>
    <w:lvl w:ilvl="2" w:tplc="C05E7FB0">
      <w:start w:val="1"/>
      <w:numFmt w:val="bullet"/>
      <w:lvlText w:val="■"/>
      <w:lvlJc w:val="left"/>
      <w:pPr>
        <w:ind w:left="2160" w:hanging="360"/>
      </w:pPr>
    </w:lvl>
    <w:lvl w:ilvl="3" w:tplc="E1749A0C">
      <w:start w:val="1"/>
      <w:numFmt w:val="bullet"/>
      <w:lvlText w:val="●"/>
      <w:lvlJc w:val="left"/>
      <w:pPr>
        <w:ind w:left="2880" w:hanging="360"/>
      </w:pPr>
    </w:lvl>
    <w:lvl w:ilvl="4" w:tplc="23BC62F6">
      <w:start w:val="1"/>
      <w:numFmt w:val="bullet"/>
      <w:lvlText w:val="○"/>
      <w:lvlJc w:val="left"/>
      <w:pPr>
        <w:ind w:left="3600" w:hanging="360"/>
      </w:pPr>
    </w:lvl>
    <w:lvl w:ilvl="5" w:tplc="E3F4C714">
      <w:start w:val="1"/>
      <w:numFmt w:val="bullet"/>
      <w:lvlText w:val="■"/>
      <w:lvlJc w:val="left"/>
      <w:pPr>
        <w:ind w:left="4320" w:hanging="360"/>
      </w:pPr>
    </w:lvl>
    <w:lvl w:ilvl="6" w:tplc="C7DE0798">
      <w:start w:val="1"/>
      <w:numFmt w:val="bullet"/>
      <w:lvlText w:val="●"/>
      <w:lvlJc w:val="left"/>
      <w:pPr>
        <w:ind w:left="5040" w:hanging="360"/>
      </w:pPr>
    </w:lvl>
    <w:lvl w:ilvl="7" w:tplc="C76ABA4A">
      <w:start w:val="1"/>
      <w:numFmt w:val="bullet"/>
      <w:lvlText w:val="●"/>
      <w:lvlJc w:val="left"/>
      <w:pPr>
        <w:ind w:left="5760" w:hanging="360"/>
      </w:pPr>
    </w:lvl>
    <w:lvl w:ilvl="8" w:tplc="40C664C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C0"/>
    <w:rsid w:val="0004430D"/>
    <w:rsid w:val="00077FC7"/>
    <w:rsid w:val="000B79A3"/>
    <w:rsid w:val="003437FB"/>
    <w:rsid w:val="003A4881"/>
    <w:rsid w:val="004D37EE"/>
    <w:rsid w:val="005F2B45"/>
    <w:rsid w:val="007270DE"/>
    <w:rsid w:val="009959C0"/>
    <w:rsid w:val="00B653F4"/>
    <w:rsid w:val="00C64D7D"/>
    <w:rsid w:val="00CE7CB7"/>
    <w:rsid w:val="00DA4287"/>
    <w:rsid w:val="00E12FB8"/>
    <w:rsid w:val="00E300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1DF5A8-3FD2-1743-9FC0-7DD21505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AR"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5F2B45"/>
    <w:pPr>
      <w:tabs>
        <w:tab w:val="center" w:pos="4419"/>
        <w:tab w:val="right" w:pos="8838"/>
      </w:tabs>
    </w:pPr>
  </w:style>
  <w:style w:type="character" w:customStyle="1" w:styleId="EncabezadoCar">
    <w:name w:val="Encabezado Car"/>
    <w:basedOn w:val="Fuentedeprrafopredeter"/>
    <w:link w:val="Encabezado"/>
    <w:uiPriority w:val="99"/>
    <w:rsid w:val="005F2B45"/>
  </w:style>
  <w:style w:type="paragraph" w:styleId="Piedepgina">
    <w:name w:val="footer"/>
    <w:basedOn w:val="Normal"/>
    <w:link w:val="PiedepginaCar"/>
    <w:uiPriority w:val="99"/>
    <w:unhideWhenUsed/>
    <w:rsid w:val="005F2B45"/>
    <w:pPr>
      <w:tabs>
        <w:tab w:val="center" w:pos="4419"/>
        <w:tab w:val="right" w:pos="8838"/>
      </w:tabs>
    </w:pPr>
  </w:style>
  <w:style w:type="character" w:customStyle="1" w:styleId="PiedepginaCar">
    <w:name w:val="Pie de página Car"/>
    <w:basedOn w:val="Fuentedeprrafopredeter"/>
    <w:link w:val="Piedepgina"/>
    <w:uiPriority w:val="99"/>
    <w:rsid w:val="005F2B45"/>
  </w:style>
  <w:style w:type="paragraph" w:customStyle="1" w:styleId="isselectedend">
    <w:name w:val="isselectedend"/>
    <w:basedOn w:val="Normal"/>
    <w:rsid w:val="0004430D"/>
    <w:pPr>
      <w:spacing w:before="100" w:beforeAutospacing="1" w:after="100" w:afterAutospacing="1"/>
    </w:pPr>
    <w:rPr>
      <w:lang w:val="en-US" w:eastAsia="en-US"/>
    </w:rPr>
  </w:style>
  <w:style w:type="character" w:styleId="Textoennegrita">
    <w:name w:val="Strong"/>
    <w:basedOn w:val="Fuentedeprrafopredeter"/>
    <w:uiPriority w:val="22"/>
    <w:qFormat/>
    <w:rsid w:val="0004430D"/>
    <w:rPr>
      <w:b/>
      <w:bCs/>
    </w:rPr>
  </w:style>
  <w:style w:type="paragraph" w:styleId="NormalWeb">
    <w:name w:val="Normal (Web)"/>
    <w:basedOn w:val="Normal"/>
    <w:uiPriority w:val="99"/>
    <w:semiHidden/>
    <w:unhideWhenUsed/>
    <w:rsid w:val="0004430D"/>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4450">
      <w:bodyDiv w:val="1"/>
      <w:marLeft w:val="0"/>
      <w:marRight w:val="0"/>
      <w:marTop w:val="0"/>
      <w:marBottom w:val="0"/>
      <w:divBdr>
        <w:top w:val="none" w:sz="0" w:space="0" w:color="auto"/>
        <w:left w:val="none" w:sz="0" w:space="0" w:color="auto"/>
        <w:bottom w:val="none" w:sz="0" w:space="0" w:color="auto"/>
        <w:right w:val="none" w:sz="0" w:space="0" w:color="auto"/>
      </w:divBdr>
    </w:div>
    <w:div w:id="282426629">
      <w:bodyDiv w:val="1"/>
      <w:marLeft w:val="0"/>
      <w:marRight w:val="0"/>
      <w:marTop w:val="0"/>
      <w:marBottom w:val="0"/>
      <w:divBdr>
        <w:top w:val="none" w:sz="0" w:space="0" w:color="auto"/>
        <w:left w:val="none" w:sz="0" w:space="0" w:color="auto"/>
        <w:bottom w:val="none" w:sz="0" w:space="0" w:color="auto"/>
        <w:right w:val="none" w:sz="0" w:space="0" w:color="auto"/>
      </w:divBdr>
    </w:div>
    <w:div w:id="599334501">
      <w:bodyDiv w:val="1"/>
      <w:marLeft w:val="0"/>
      <w:marRight w:val="0"/>
      <w:marTop w:val="0"/>
      <w:marBottom w:val="0"/>
      <w:divBdr>
        <w:top w:val="none" w:sz="0" w:space="0" w:color="auto"/>
        <w:left w:val="none" w:sz="0" w:space="0" w:color="auto"/>
        <w:bottom w:val="none" w:sz="0" w:space="0" w:color="auto"/>
        <w:right w:val="none" w:sz="0" w:space="0" w:color="auto"/>
      </w:divBdr>
    </w:div>
    <w:div w:id="657199110">
      <w:bodyDiv w:val="1"/>
      <w:marLeft w:val="0"/>
      <w:marRight w:val="0"/>
      <w:marTop w:val="0"/>
      <w:marBottom w:val="0"/>
      <w:divBdr>
        <w:top w:val="none" w:sz="0" w:space="0" w:color="auto"/>
        <w:left w:val="none" w:sz="0" w:space="0" w:color="auto"/>
        <w:bottom w:val="none" w:sz="0" w:space="0" w:color="auto"/>
        <w:right w:val="none" w:sz="0" w:space="0" w:color="auto"/>
      </w:divBdr>
    </w:div>
    <w:div w:id="682783780">
      <w:bodyDiv w:val="1"/>
      <w:marLeft w:val="0"/>
      <w:marRight w:val="0"/>
      <w:marTop w:val="0"/>
      <w:marBottom w:val="0"/>
      <w:divBdr>
        <w:top w:val="none" w:sz="0" w:space="0" w:color="auto"/>
        <w:left w:val="none" w:sz="0" w:space="0" w:color="auto"/>
        <w:bottom w:val="none" w:sz="0" w:space="0" w:color="auto"/>
        <w:right w:val="none" w:sz="0" w:space="0" w:color="auto"/>
      </w:divBdr>
    </w:div>
    <w:div w:id="1140341606">
      <w:bodyDiv w:val="1"/>
      <w:marLeft w:val="0"/>
      <w:marRight w:val="0"/>
      <w:marTop w:val="0"/>
      <w:marBottom w:val="0"/>
      <w:divBdr>
        <w:top w:val="none" w:sz="0" w:space="0" w:color="auto"/>
        <w:left w:val="none" w:sz="0" w:space="0" w:color="auto"/>
        <w:bottom w:val="none" w:sz="0" w:space="0" w:color="auto"/>
        <w:right w:val="none" w:sz="0" w:space="0" w:color="auto"/>
      </w:divBdr>
    </w:div>
    <w:div w:id="1398555633">
      <w:bodyDiv w:val="1"/>
      <w:marLeft w:val="0"/>
      <w:marRight w:val="0"/>
      <w:marTop w:val="0"/>
      <w:marBottom w:val="0"/>
      <w:divBdr>
        <w:top w:val="none" w:sz="0" w:space="0" w:color="auto"/>
        <w:left w:val="none" w:sz="0" w:space="0" w:color="auto"/>
        <w:bottom w:val="none" w:sz="0" w:space="0" w:color="auto"/>
        <w:right w:val="none" w:sz="0" w:space="0" w:color="auto"/>
      </w:divBdr>
    </w:div>
    <w:div w:id="1605961084">
      <w:bodyDiv w:val="1"/>
      <w:marLeft w:val="0"/>
      <w:marRight w:val="0"/>
      <w:marTop w:val="0"/>
      <w:marBottom w:val="0"/>
      <w:divBdr>
        <w:top w:val="none" w:sz="0" w:space="0" w:color="auto"/>
        <w:left w:val="none" w:sz="0" w:space="0" w:color="auto"/>
        <w:bottom w:val="none" w:sz="0" w:space="0" w:color="auto"/>
        <w:right w:val="none" w:sz="0" w:space="0" w:color="auto"/>
      </w:divBdr>
    </w:div>
    <w:div w:id="1969512790">
      <w:bodyDiv w:val="1"/>
      <w:marLeft w:val="0"/>
      <w:marRight w:val="0"/>
      <w:marTop w:val="0"/>
      <w:marBottom w:val="0"/>
      <w:divBdr>
        <w:top w:val="none" w:sz="0" w:space="0" w:color="auto"/>
        <w:left w:val="none" w:sz="0" w:space="0" w:color="auto"/>
        <w:bottom w:val="none" w:sz="0" w:space="0" w:color="auto"/>
        <w:right w:val="none" w:sz="0" w:space="0" w:color="auto"/>
      </w:divBdr>
    </w:div>
    <w:div w:id="2063795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2951</Words>
  <Characters>16235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PC1</cp:lastModifiedBy>
  <cp:revision>3</cp:revision>
  <dcterms:created xsi:type="dcterms:W3CDTF">2026-08-21T09:48:00Z</dcterms:created>
  <dcterms:modified xsi:type="dcterms:W3CDTF">2026-08-25T13:27:00Z</dcterms:modified>
</cp:coreProperties>
</file>