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F88D9" w14:textId="4839383E" w:rsidR="00A61CC6" w:rsidRPr="00324704" w:rsidRDefault="00A61CC6" w:rsidP="00324704">
      <w:pPr>
        <w:spacing w:after="360" w:line="240" w:lineRule="auto"/>
        <w:ind w:left="-1304"/>
        <w:jc w:val="right"/>
        <w:rPr>
          <w:rFonts w:ascii="Arial" w:hAnsi="Arial" w:cs="Arial"/>
        </w:rPr>
      </w:pPr>
      <w:bookmarkStart w:id="0" w:name="_GoBack"/>
      <w:bookmarkEnd w:id="0"/>
      <w:r w:rsidRPr="00324704">
        <w:rPr>
          <w:rFonts w:ascii="Arial" w:hAnsi="Arial" w:cs="Arial"/>
        </w:rPr>
        <w:t>Chascomús,</w:t>
      </w:r>
      <w:r w:rsidR="00324704">
        <w:rPr>
          <w:rFonts w:ascii="Arial" w:hAnsi="Arial" w:cs="Arial"/>
        </w:rPr>
        <w:t xml:space="preserve"> 29 </w:t>
      </w:r>
      <w:r w:rsidRPr="00324704">
        <w:rPr>
          <w:rFonts w:ascii="Arial" w:hAnsi="Arial" w:cs="Arial"/>
        </w:rPr>
        <w:t>de julio de 2025</w:t>
      </w:r>
    </w:p>
    <w:p w14:paraId="5401BBE1" w14:textId="77777777" w:rsidR="00A61CC6" w:rsidRPr="00324704" w:rsidRDefault="00A61CC6" w:rsidP="00324704">
      <w:pPr>
        <w:spacing w:after="0" w:line="360" w:lineRule="auto"/>
        <w:jc w:val="both"/>
        <w:rPr>
          <w:rFonts w:ascii="Arial" w:eastAsia="MS Mincho" w:hAnsi="Arial" w:cs="Arial"/>
          <w:b/>
          <w:u w:val="single"/>
          <w:lang w:val="es-ES_tradnl" w:eastAsia="es-ES_tradnl"/>
        </w:rPr>
      </w:pPr>
      <w:r w:rsidRPr="00324704">
        <w:rPr>
          <w:rFonts w:ascii="Arial" w:eastAsia="MS Mincho" w:hAnsi="Arial" w:cs="Arial"/>
          <w:b/>
          <w:u w:val="single"/>
          <w:lang w:val="es-ES_tradnl" w:eastAsia="es-ES_tradnl"/>
        </w:rPr>
        <w:t>VISTO:</w:t>
      </w:r>
    </w:p>
    <w:p w14:paraId="619198C7" w14:textId="77777777" w:rsidR="00A61CC6" w:rsidRPr="00324704" w:rsidRDefault="00A61CC6" w:rsidP="00324704">
      <w:pPr>
        <w:autoSpaceDE w:val="0"/>
        <w:autoSpaceDN w:val="0"/>
        <w:adjustRightInd w:val="0"/>
        <w:spacing w:after="150" w:line="360" w:lineRule="auto"/>
        <w:ind w:firstLine="851"/>
        <w:jc w:val="both"/>
        <w:rPr>
          <w:rFonts w:ascii="Arial" w:eastAsiaTheme="minorHAnsi" w:hAnsi="Arial" w:cs="Arial"/>
          <w:lang w:val="es-AR" w:eastAsia="en-US"/>
        </w:rPr>
      </w:pPr>
      <w:r w:rsidRPr="00324704">
        <w:rPr>
          <w:rFonts w:ascii="Arial" w:eastAsiaTheme="minorHAnsi" w:hAnsi="Arial" w:cs="Arial"/>
          <w:lang w:val="es-AR" w:eastAsia="en-US"/>
        </w:rPr>
        <w:t xml:space="preserve">El </w:t>
      </w:r>
      <w:r w:rsidRPr="00324704">
        <w:rPr>
          <w:rFonts w:ascii="Arial" w:eastAsiaTheme="minorHAnsi" w:hAnsi="Arial" w:cs="Arial"/>
          <w:b/>
          <w:lang w:val="es-AR" w:eastAsia="en-US"/>
        </w:rPr>
        <w:t>Expediente Administrativo GDE EX-2025-00021693-CHASCOMUS-MESA#SG</w:t>
      </w:r>
      <w:r w:rsidRPr="00324704">
        <w:rPr>
          <w:rFonts w:ascii="Arial" w:eastAsiaTheme="minorHAnsi" w:hAnsi="Arial" w:cs="Arial"/>
          <w:lang w:val="es-AR" w:eastAsia="en-US"/>
        </w:rPr>
        <w:t xml:space="preserve">, iniciado a raíz de la </w:t>
      </w:r>
      <w:r w:rsidRPr="00324704">
        <w:rPr>
          <w:rFonts w:ascii="Arial" w:eastAsiaTheme="minorHAnsi" w:hAnsi="Arial" w:cs="Arial"/>
          <w:b/>
          <w:lang w:val="es-AR" w:eastAsia="en-US"/>
        </w:rPr>
        <w:t>“Solicitud de Compensación Parcial del canon Laguna Camp”</w:t>
      </w:r>
      <w:r w:rsidRPr="00324704">
        <w:rPr>
          <w:rFonts w:ascii="Arial" w:eastAsiaTheme="minorHAnsi" w:hAnsi="Arial" w:cs="Arial"/>
          <w:lang w:val="es-AR" w:eastAsia="en-US"/>
        </w:rPr>
        <w:t>; y</w:t>
      </w:r>
    </w:p>
    <w:p w14:paraId="52435FC3" w14:textId="77777777" w:rsidR="00A61CC6" w:rsidRPr="00324704" w:rsidRDefault="00A61CC6" w:rsidP="00324704">
      <w:pPr>
        <w:spacing w:after="0" w:line="360" w:lineRule="auto"/>
        <w:jc w:val="both"/>
        <w:rPr>
          <w:rFonts w:ascii="Arial" w:eastAsia="MS Mincho" w:hAnsi="Arial" w:cs="Arial"/>
          <w:b/>
          <w:u w:val="single"/>
          <w:lang w:val="es-ES_tradnl" w:eastAsia="es-ES_tradnl"/>
        </w:rPr>
      </w:pPr>
      <w:r w:rsidRPr="00324704">
        <w:rPr>
          <w:rFonts w:ascii="Arial" w:eastAsia="MS Mincho" w:hAnsi="Arial" w:cs="Arial"/>
          <w:b/>
          <w:u w:val="single"/>
          <w:lang w:val="es-ES_tradnl" w:eastAsia="es-ES_tradnl"/>
        </w:rPr>
        <w:t>CONSIDERANDO:</w:t>
      </w:r>
    </w:p>
    <w:p w14:paraId="7DBD8FFB"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el concesionario ha planteado un "desfasaje crítico entre la evolución del canon locativo y los índices oficiales de inflación" durante el período de concesión transcurrido.</w:t>
      </w:r>
    </w:p>
    <w:p w14:paraId="6C498FB6"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un análisis realizado desde la Secretaría de Hacienda para determinar la razonabilidad del canon, considerando la variación del índice CAC –Cámara Argentina de Construcción- y del módulo municipal, demostró que la evolución del módulo municipal fue muy superior al índice CAC en el periodo de enero de 2022 a marzo de 2025.</w:t>
      </w:r>
    </w:p>
    <w:p w14:paraId="5D1B18F3"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el valor del módulo municipal se modifica con la actualización de los salarios municipales y que, en el periodo analizado, se recuperó el poder adquisitivo de periodos anteriores, lo que sugiere que el valor del módulo al inicio de la concesión podría considerarse "retrasado".</w:t>
      </w:r>
    </w:p>
    <w:p w14:paraId="73990867"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el principio de razonabilidad rige toda actuación administrativa, tal como lo establece la doctrina de Linares Quintana, quien señala que: “La razonabilidad constituye la medida de la legalidad en materia administrativa. Toda decisión estatal debe adecuarse a la lógica, la equidad y los principios generales del derecho.”</w:t>
      </w:r>
    </w:p>
    <w:p w14:paraId="50E4475C"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por dicho motivo, se considera razonable adecuar el monto del canon, ubicándolo en 36.068,4 módulos anuales, valor que sigue siendo superior a las otras dos ofertas de la Licitación Pública Nº 19/21.</w:t>
      </w:r>
    </w:p>
    <w:p w14:paraId="60927CA5"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el concesionario ha manifestado, desde que se hizo cargo del predio, que las proyecciones iniciales de ingresos se basaron en información del anterior concesionario (Asociación Mutual 6 de septiembre, Camping Banco Provincia) que indicaba más de 3.000 personas diarias utilizando los servicios.</w:t>
      </w:r>
    </w:p>
    <w:p w14:paraId="6EC4B92E"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esta información fue confirmada por el Área Técnica de Turismo en su "Informe de Aforo", que estableció que el anterior concesionario "recibía más de 3000 personas que utilizaban sus servicios".</w:t>
      </w:r>
    </w:p>
    <w:p w14:paraId="0C01017D"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lastRenderedPageBreak/>
        <w:t xml:space="preserve">Que, no obstante, un estudio realizado por profesionales del Estudio </w:t>
      </w:r>
      <w:proofErr w:type="spellStart"/>
      <w:r w:rsidRPr="00324704">
        <w:rPr>
          <w:rFonts w:ascii="Arial" w:hAnsi="Arial" w:cs="Arial"/>
          <w:lang w:val="es-AR"/>
        </w:rPr>
        <w:t>Vakkum</w:t>
      </w:r>
      <w:proofErr w:type="spellEnd"/>
      <w:r w:rsidRPr="00324704">
        <w:rPr>
          <w:rFonts w:ascii="Arial" w:hAnsi="Arial" w:cs="Arial"/>
          <w:lang w:val="es-AR"/>
        </w:rPr>
        <w:t>, a solicitud del concesionario actual, concluyó que, por cuestiones operativas, de infraestructura e impacto ambiental, no era posible explotar el predio de manera sustentable con ese volumen de visitantes.</w:t>
      </w:r>
    </w:p>
    <w:p w14:paraId="1DA2E1EB"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a raíz de dicha evaluación, el concesionario adecuó la infraestructura de cloacas y otros servicios básicos, determinándose que el aforo máximo recomendable es de 1.000 a 1.200 personas diarias.</w:t>
      </w:r>
    </w:p>
    <w:p w14:paraId="0CC1AF1E"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este nuevo aforo equivale al 40% del estimado para el concesionario anterior, y que una adecuación proporcional del canon ofrecido reduciría este a 18.000 módulos anuales.</w:t>
      </w:r>
    </w:p>
    <w:p w14:paraId="7D67D4F5" w14:textId="150DB8C8"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contemplando que la actual explotación del predio resulta muy satisfactoria y que el concesionario está claramente comprometido con el cuidado del ambiente</w:t>
      </w:r>
      <w:r w:rsidR="00F25791">
        <w:rPr>
          <w:rFonts w:ascii="Arial" w:hAnsi="Arial" w:cs="Arial"/>
          <w:lang w:val="es-AR"/>
        </w:rPr>
        <w:t>,</w:t>
      </w:r>
      <w:r w:rsidRPr="00324704">
        <w:rPr>
          <w:rFonts w:ascii="Arial" w:hAnsi="Arial" w:cs="Arial"/>
          <w:lang w:val="es-AR"/>
        </w:rPr>
        <w:t xml:space="preserve"> la Secretaría de Hacienda considera razonable la propuesta de adecuación del valor del canon al mínimo sugerido por el pliego de bases y condiciones de la Licitación Pública Nº 19/21, que asciende a 20.790 módulos por año.</w:t>
      </w:r>
    </w:p>
    <w:p w14:paraId="1361AAA6" w14:textId="77777777" w:rsidR="00A61CC6" w:rsidRPr="00324704" w:rsidRDefault="00A61CC6" w:rsidP="00324704">
      <w:pPr>
        <w:spacing w:after="120" w:line="360" w:lineRule="auto"/>
        <w:ind w:firstLine="1843"/>
        <w:jc w:val="both"/>
        <w:rPr>
          <w:rFonts w:ascii="Arial" w:hAnsi="Arial" w:cs="Arial"/>
          <w:lang w:val="es-AR"/>
        </w:rPr>
      </w:pPr>
      <w:r w:rsidRPr="00324704">
        <w:rPr>
          <w:rFonts w:ascii="Arial" w:hAnsi="Arial" w:cs="Arial"/>
          <w:lang w:val="es-AR"/>
        </w:rPr>
        <w:t>Que la Dirección de Asuntos Legales ha dictaminado que resulta jurídicamente procedente la adecuación del canon locativo en los términos propuestos, siendo necesaria su aprobación por el Honorable Concejo Deliberante.</w:t>
      </w:r>
    </w:p>
    <w:p w14:paraId="31602260" w14:textId="77777777" w:rsidR="00324704" w:rsidRDefault="00324704" w:rsidP="00324704">
      <w:pPr>
        <w:spacing w:after="120" w:line="360" w:lineRule="auto"/>
        <w:ind w:firstLine="1843"/>
        <w:jc w:val="both"/>
        <w:rPr>
          <w:rFonts w:ascii="Arial" w:hAnsi="Arial" w:cs="Arial"/>
          <w:lang w:val="es-AR"/>
        </w:rPr>
      </w:pPr>
      <w:r>
        <w:rPr>
          <w:rFonts w:ascii="Arial" w:hAnsi="Arial" w:cs="Arial"/>
          <w:lang w:val="es-AR"/>
        </w:rPr>
        <w:t>Por ello, el Intendente Municipal, en uso de sus atribuciones, eleva el siguiente proyecto de</w:t>
      </w:r>
    </w:p>
    <w:p w14:paraId="5DB1E29B" w14:textId="4F7715F9" w:rsidR="00A61CC6" w:rsidRPr="00324704" w:rsidRDefault="00A61CC6" w:rsidP="00324704">
      <w:pPr>
        <w:spacing w:after="240" w:line="360" w:lineRule="auto"/>
        <w:jc w:val="center"/>
        <w:rPr>
          <w:rFonts w:ascii="Arial" w:eastAsia="Times New Roman" w:hAnsi="Arial" w:cs="Arial"/>
          <w:b/>
          <w:bCs/>
          <w:u w:val="single"/>
          <w:lang w:val="es-AR"/>
        </w:rPr>
      </w:pPr>
      <w:r w:rsidRPr="00324704">
        <w:rPr>
          <w:rFonts w:ascii="Arial" w:eastAsia="Times New Roman" w:hAnsi="Arial" w:cs="Arial"/>
          <w:b/>
          <w:bCs/>
          <w:u w:val="single"/>
          <w:lang w:val="es-AR"/>
        </w:rPr>
        <w:t>ORDENANZA</w:t>
      </w:r>
    </w:p>
    <w:p w14:paraId="0C4F2BD4" w14:textId="5AB1C893" w:rsidR="00A61CC6" w:rsidRPr="00324704" w:rsidRDefault="00A61CC6" w:rsidP="00324704">
      <w:pPr>
        <w:spacing w:before="120" w:after="0" w:line="360" w:lineRule="auto"/>
        <w:jc w:val="both"/>
        <w:rPr>
          <w:rFonts w:ascii="Arial" w:eastAsia="MS Mincho" w:hAnsi="Arial" w:cs="Arial"/>
          <w:b/>
          <w:bCs/>
          <w:u w:val="single"/>
          <w:lang w:val="es-ES_tradnl" w:eastAsia="es-ES_tradnl"/>
        </w:rPr>
      </w:pPr>
      <w:r w:rsidRPr="00324704">
        <w:rPr>
          <w:rFonts w:ascii="Arial" w:eastAsia="MS Mincho" w:hAnsi="Arial" w:cs="Arial"/>
          <w:b/>
          <w:bCs/>
          <w:u w:val="single"/>
          <w:lang w:val="es-ES_tradnl" w:eastAsia="es-ES_tradnl"/>
        </w:rPr>
        <w:t>ARTÍCULO 1º:</w:t>
      </w:r>
      <w:r w:rsidRPr="00324704">
        <w:rPr>
          <w:rFonts w:ascii="Arial" w:eastAsia="MS Mincho" w:hAnsi="Arial" w:cs="Arial"/>
          <w:bCs/>
          <w:lang w:val="es-ES_tradnl" w:eastAsia="es-ES_tradnl"/>
        </w:rPr>
        <w:t xml:space="preserve"> </w:t>
      </w:r>
      <w:r w:rsidR="00163B7B" w:rsidRPr="00324704">
        <w:rPr>
          <w:rFonts w:ascii="Arial" w:eastAsia="MS Mincho" w:hAnsi="Arial" w:cs="Arial"/>
          <w:bCs/>
          <w:lang w:val="es-ES_tradnl" w:eastAsia="es-ES_tradnl"/>
        </w:rPr>
        <w:t>Autorizase</w:t>
      </w:r>
      <w:r w:rsidRPr="00324704">
        <w:rPr>
          <w:rFonts w:ascii="Arial" w:eastAsia="MS Mincho" w:hAnsi="Arial" w:cs="Arial"/>
          <w:bCs/>
          <w:lang w:val="es-ES_tradnl" w:eastAsia="es-ES_tradnl"/>
        </w:rPr>
        <w:t xml:space="preserve"> la adecuación del valor del canon anual correspondiente a la concesión de la Parcela Ribereña N°19 (Laguna Camp), fijándolo en 20.790 (Veinte Mil Setecientos Noventa) módulos municipales anuales, conforme a lo establecido en el Pliego de Bases y Condiciones de la Licitación Pública Nº 19/21.</w:t>
      </w:r>
    </w:p>
    <w:p w14:paraId="54511D7C" w14:textId="560C172A" w:rsidR="00A61CC6" w:rsidRPr="00324704" w:rsidRDefault="00A61CC6" w:rsidP="00324704">
      <w:pPr>
        <w:spacing w:before="120" w:after="0" w:line="360" w:lineRule="auto"/>
        <w:jc w:val="both"/>
        <w:rPr>
          <w:rFonts w:ascii="Arial" w:eastAsia="MS Mincho" w:hAnsi="Arial" w:cs="Arial"/>
          <w:b/>
          <w:bCs/>
          <w:u w:val="single"/>
          <w:lang w:val="es-ES_tradnl" w:eastAsia="es-ES_tradnl"/>
        </w:rPr>
      </w:pPr>
      <w:r w:rsidRPr="00324704">
        <w:rPr>
          <w:rFonts w:ascii="Arial" w:eastAsia="MS Mincho" w:hAnsi="Arial" w:cs="Arial"/>
          <w:b/>
          <w:bCs/>
          <w:u w:val="single"/>
          <w:lang w:val="es-ES_tradnl" w:eastAsia="es-ES_tradnl"/>
        </w:rPr>
        <w:t>ARTÍCULO 2º:</w:t>
      </w:r>
      <w:r w:rsidRPr="00324704">
        <w:rPr>
          <w:rFonts w:ascii="Arial" w:eastAsia="MS Mincho" w:hAnsi="Arial" w:cs="Arial"/>
          <w:bCs/>
          <w:lang w:val="es-ES_tradnl" w:eastAsia="es-ES_tradnl"/>
        </w:rPr>
        <w:t xml:space="preserve"> </w:t>
      </w:r>
      <w:r w:rsidR="00163B7B" w:rsidRPr="00324704">
        <w:rPr>
          <w:rFonts w:ascii="Arial" w:eastAsia="MS Mincho" w:hAnsi="Arial" w:cs="Arial"/>
          <w:bCs/>
          <w:lang w:val="es-ES_tradnl" w:eastAsia="es-ES_tradnl"/>
        </w:rPr>
        <w:t>Facultase</w:t>
      </w:r>
      <w:r w:rsidRPr="00324704">
        <w:rPr>
          <w:rFonts w:ascii="Arial" w:eastAsia="MS Mincho" w:hAnsi="Arial" w:cs="Arial"/>
          <w:bCs/>
          <w:lang w:val="es-ES_tradnl" w:eastAsia="es-ES_tradnl"/>
        </w:rPr>
        <w:t xml:space="preserve"> al Departamento Ejecutivo a realizar todas las acciones necesarias para la implementación de la presente Ordenanza.</w:t>
      </w:r>
    </w:p>
    <w:p w14:paraId="46E50419" w14:textId="77777777" w:rsidR="00A61CC6" w:rsidRPr="00324704" w:rsidRDefault="00A61CC6" w:rsidP="00324704">
      <w:pPr>
        <w:spacing w:before="120" w:after="0" w:line="360" w:lineRule="auto"/>
        <w:jc w:val="both"/>
        <w:rPr>
          <w:rFonts w:ascii="Arial" w:eastAsia="MS Mincho" w:hAnsi="Arial" w:cs="Arial"/>
          <w:b/>
          <w:bCs/>
          <w:u w:val="single"/>
          <w:lang w:val="es-ES_tradnl" w:eastAsia="es-ES_tradnl"/>
        </w:rPr>
      </w:pPr>
      <w:r w:rsidRPr="00324704">
        <w:rPr>
          <w:rFonts w:ascii="Arial" w:eastAsia="MS Mincho" w:hAnsi="Arial" w:cs="Arial"/>
          <w:b/>
          <w:bCs/>
          <w:u w:val="single"/>
          <w:lang w:val="es-ES_tradnl" w:eastAsia="es-ES_tradnl"/>
        </w:rPr>
        <w:t>ARTÍCULO 3º:</w:t>
      </w:r>
      <w:r w:rsidRPr="00324704">
        <w:rPr>
          <w:rFonts w:ascii="Arial" w:eastAsia="MS Mincho" w:hAnsi="Arial" w:cs="Arial"/>
          <w:bCs/>
          <w:lang w:val="es-ES_tradnl" w:eastAsia="es-ES_tradnl"/>
        </w:rPr>
        <w:t xml:space="preserve"> De forma.</w:t>
      </w:r>
    </w:p>
    <w:p w14:paraId="11E2B9D8" w14:textId="61AC463D" w:rsidR="00E4029C" w:rsidRPr="00A61CC6" w:rsidRDefault="00E4029C" w:rsidP="00A61CC6"/>
    <w:sectPr w:rsidR="00E4029C" w:rsidRPr="00A61CC6" w:rsidSect="00EF2925">
      <w:headerReference w:type="default" r:id="rId8"/>
      <w:pgSz w:w="11906" w:h="16838"/>
      <w:pgMar w:top="1417" w:right="1701" w:bottom="1417" w:left="1701" w:header="56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3B353" w14:textId="77777777" w:rsidR="00A67D38" w:rsidRDefault="00A67D38">
      <w:pPr>
        <w:spacing w:after="0" w:line="240" w:lineRule="auto"/>
      </w:pPr>
      <w:r>
        <w:separator/>
      </w:r>
    </w:p>
  </w:endnote>
  <w:endnote w:type="continuationSeparator" w:id="0">
    <w:p w14:paraId="3012F222" w14:textId="77777777" w:rsidR="00A67D38" w:rsidRDefault="00A6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9ADE0" w14:textId="77777777" w:rsidR="00A67D38" w:rsidRDefault="00A67D38">
      <w:pPr>
        <w:spacing w:after="0" w:line="240" w:lineRule="auto"/>
      </w:pPr>
      <w:r>
        <w:separator/>
      </w:r>
    </w:p>
  </w:footnote>
  <w:footnote w:type="continuationSeparator" w:id="0">
    <w:p w14:paraId="100AD11B" w14:textId="77777777" w:rsidR="00A67D38" w:rsidRDefault="00A6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0B419" w14:textId="356E55B0" w:rsidR="00B6569B" w:rsidRDefault="001D2023">
    <w:pPr>
      <w:pBdr>
        <w:top w:val="nil"/>
        <w:left w:val="nil"/>
        <w:bottom w:val="nil"/>
        <w:right w:val="nil"/>
        <w:between w:val="nil"/>
      </w:pBdr>
      <w:tabs>
        <w:tab w:val="center" w:pos="4252"/>
        <w:tab w:val="right" w:pos="8504"/>
        <w:tab w:val="left" w:pos="2295"/>
      </w:tabs>
      <w:spacing w:after="0" w:line="240" w:lineRule="auto"/>
      <w:rPr>
        <w:color w:val="000000"/>
      </w:rPr>
    </w:pPr>
    <w:r>
      <w:rPr>
        <w:noProof/>
        <w:lang w:val="en-US" w:eastAsia="en-US"/>
      </w:rPr>
      <w:drawing>
        <wp:inline distT="0" distB="0" distL="0" distR="0" wp14:anchorId="64D9FED4" wp14:editId="24336722">
          <wp:extent cx="5400040" cy="549948"/>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400040" cy="549948"/>
                  </a:xfrm>
                  <a:prstGeom prst="rect">
                    <a:avLst/>
                  </a:prstGeom>
                  <a:ln>
                    <a:noFill/>
                  </a:ln>
                  <a:extLst>
                    <a:ext uri="{53640926-AAD7-44D8-BBD7-CCE9431645EC}">
                      <a14:shadowObscured xmlns:a14="http://schemas.microsoft.com/office/drawing/2010/main"/>
                    </a:ext>
                  </a:extLst>
                </pic:spPr>
              </pic:pic>
            </a:graphicData>
          </a:graphic>
        </wp:inline>
      </w:drawing>
    </w:r>
    <w:r w:rsidR="00D70BB3">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797D"/>
    <w:multiLevelType w:val="hybridMultilevel"/>
    <w:tmpl w:val="575CDD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8313213"/>
    <w:multiLevelType w:val="hybridMultilevel"/>
    <w:tmpl w:val="764CE1B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502AC3"/>
    <w:multiLevelType w:val="hybridMultilevel"/>
    <w:tmpl w:val="8E36138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9B"/>
    <w:rsid w:val="001236C3"/>
    <w:rsid w:val="00163B7B"/>
    <w:rsid w:val="001D0548"/>
    <w:rsid w:val="001D2023"/>
    <w:rsid w:val="00324704"/>
    <w:rsid w:val="003624D8"/>
    <w:rsid w:val="00365570"/>
    <w:rsid w:val="0041142B"/>
    <w:rsid w:val="006C786B"/>
    <w:rsid w:val="00A3613C"/>
    <w:rsid w:val="00A61CC6"/>
    <w:rsid w:val="00A67D38"/>
    <w:rsid w:val="00AC4CD8"/>
    <w:rsid w:val="00AF68B0"/>
    <w:rsid w:val="00B6569B"/>
    <w:rsid w:val="00BF2A81"/>
    <w:rsid w:val="00D52DDE"/>
    <w:rsid w:val="00D70BB3"/>
    <w:rsid w:val="00DE34DA"/>
    <w:rsid w:val="00DF3120"/>
    <w:rsid w:val="00E4029C"/>
    <w:rsid w:val="00E5410C"/>
    <w:rsid w:val="00EA6F7D"/>
    <w:rsid w:val="00EF2925"/>
    <w:rsid w:val="00F25791"/>
    <w:rsid w:val="00F66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7E1C"/>
  <w15:docId w15:val="{74CC6301-84A5-4B4F-93C6-3275FEC1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C43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3FA"/>
  </w:style>
  <w:style w:type="paragraph" w:styleId="Piedepgina">
    <w:name w:val="footer"/>
    <w:basedOn w:val="Normal"/>
    <w:link w:val="PiedepginaCar"/>
    <w:uiPriority w:val="99"/>
    <w:unhideWhenUsed/>
    <w:rsid w:val="002C43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C43FA"/>
  </w:style>
  <w:style w:type="paragraph" w:styleId="Textodeglobo">
    <w:name w:val="Balloon Text"/>
    <w:basedOn w:val="Normal"/>
    <w:link w:val="TextodegloboCar"/>
    <w:uiPriority w:val="99"/>
    <w:semiHidden/>
    <w:unhideWhenUsed/>
    <w:rsid w:val="002C43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3FA"/>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624D8"/>
    <w:pPr>
      <w:ind w:left="720"/>
      <w:contextualSpacing/>
    </w:pPr>
  </w:style>
  <w:style w:type="character" w:styleId="nfasis">
    <w:name w:val="Emphasis"/>
    <w:basedOn w:val="Fuentedeprrafopredeter"/>
    <w:uiPriority w:val="20"/>
    <w:qFormat/>
    <w:rsid w:val="00A36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l1rMtwrmw4156AbigO8AmA/2Q==">CgMxLjA4AHIhMURfVTJPSm5GMHFCeDg3NGdBY2plZFNSamF0dFNmbkVh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Turismo</dc:creator>
  <cp:lastModifiedBy>SIMM</cp:lastModifiedBy>
  <cp:revision>2</cp:revision>
  <cp:lastPrinted>2025-07-07T14:07:00Z</cp:lastPrinted>
  <dcterms:created xsi:type="dcterms:W3CDTF">2025-07-31T12:12:00Z</dcterms:created>
  <dcterms:modified xsi:type="dcterms:W3CDTF">2025-07-31T12:12:00Z</dcterms:modified>
</cp:coreProperties>
</file>