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BF2B6" w14:textId="18925DBF" w:rsidR="0028275D" w:rsidRPr="00D22CFD" w:rsidRDefault="0028275D" w:rsidP="00382A7B">
      <w:pPr>
        <w:spacing w:after="480" w:line="240" w:lineRule="auto"/>
        <w:ind w:left="-1304"/>
        <w:jc w:val="right"/>
        <w:rPr>
          <w:rFonts w:eastAsia="Calibri"/>
        </w:rPr>
      </w:pPr>
      <w:bookmarkStart w:id="0" w:name="_GoBack"/>
      <w:bookmarkEnd w:id="0"/>
      <w:r w:rsidRPr="00D22CFD">
        <w:rPr>
          <w:rFonts w:eastAsia="Calibri"/>
        </w:rPr>
        <w:t xml:space="preserve">Chascomús, </w:t>
      </w:r>
      <w:r w:rsidR="00382A7B">
        <w:rPr>
          <w:rFonts w:eastAsia="Calibri"/>
        </w:rPr>
        <w:t>19</w:t>
      </w:r>
      <w:r w:rsidRPr="00D22CFD">
        <w:rPr>
          <w:rFonts w:eastAsia="Calibri"/>
        </w:rPr>
        <w:t xml:space="preserve"> de </w:t>
      </w:r>
      <w:r w:rsidR="00382A7B">
        <w:rPr>
          <w:rFonts w:eastAsia="Calibri"/>
        </w:rPr>
        <w:t>Noviem</w:t>
      </w:r>
      <w:r w:rsidRPr="00D22CFD">
        <w:rPr>
          <w:rFonts w:eastAsia="Calibri"/>
        </w:rPr>
        <w:t>bre de 2025</w:t>
      </w:r>
    </w:p>
    <w:p w14:paraId="00000003" w14:textId="77777777" w:rsidR="00E53085" w:rsidRPr="0028275D" w:rsidRDefault="00AD7B02" w:rsidP="0028275D">
      <w:pPr>
        <w:spacing w:line="360" w:lineRule="auto"/>
        <w:jc w:val="both"/>
        <w:rPr>
          <w:rFonts w:eastAsia="MS Mincho"/>
          <w:b/>
          <w:u w:val="single"/>
          <w:lang w:val="es-ES_tradnl" w:eastAsia="es-ES_tradnl"/>
        </w:rPr>
      </w:pPr>
      <w:r w:rsidRPr="0028275D">
        <w:rPr>
          <w:rFonts w:eastAsia="MS Mincho"/>
          <w:b/>
          <w:u w:val="single"/>
          <w:lang w:val="es-ES_tradnl" w:eastAsia="es-ES_tradnl"/>
        </w:rPr>
        <w:t>VISTO:</w:t>
      </w:r>
    </w:p>
    <w:p w14:paraId="00000004" w14:textId="05B5AB4D" w:rsidR="00E53085" w:rsidRPr="0028275D" w:rsidRDefault="00AD7B02" w:rsidP="0028275D">
      <w:pPr>
        <w:autoSpaceDE w:val="0"/>
        <w:autoSpaceDN w:val="0"/>
        <w:adjustRightInd w:val="0"/>
        <w:spacing w:after="150" w:line="360" w:lineRule="auto"/>
        <w:ind w:firstLine="851"/>
        <w:jc w:val="both"/>
        <w:rPr>
          <w:rFonts w:eastAsiaTheme="minorHAnsi"/>
          <w:lang w:eastAsia="en-US"/>
        </w:rPr>
      </w:pPr>
      <w:r w:rsidRPr="0028275D">
        <w:rPr>
          <w:rFonts w:eastAsiaTheme="minorHAnsi"/>
          <w:lang w:eastAsia="en-US"/>
        </w:rPr>
        <w:t xml:space="preserve">El Expediente N° 162541/M – Alcance 2, </w:t>
      </w:r>
      <w:r w:rsidR="0028275D">
        <w:rPr>
          <w:rFonts w:eastAsiaTheme="minorHAnsi"/>
          <w:lang w:eastAsia="en-US"/>
        </w:rPr>
        <w:t xml:space="preserve">caratulado “Extensión del período de gracia y extensión del plazo de concesión”, </w:t>
      </w:r>
      <w:r w:rsidRPr="0028275D">
        <w:rPr>
          <w:rFonts w:eastAsiaTheme="minorHAnsi"/>
          <w:lang w:eastAsia="en-US"/>
        </w:rPr>
        <w:t>y;</w:t>
      </w:r>
    </w:p>
    <w:p w14:paraId="00000005" w14:textId="77777777" w:rsidR="00E53085" w:rsidRDefault="00E53085">
      <w:pPr>
        <w:jc w:val="both"/>
      </w:pPr>
    </w:p>
    <w:p w14:paraId="00000006" w14:textId="77777777" w:rsidR="00E53085" w:rsidRPr="0028275D" w:rsidRDefault="00AD7B02" w:rsidP="0028275D">
      <w:pPr>
        <w:spacing w:line="360" w:lineRule="auto"/>
        <w:jc w:val="both"/>
        <w:rPr>
          <w:rFonts w:eastAsia="MS Mincho"/>
          <w:b/>
          <w:u w:val="single"/>
          <w:lang w:val="es-ES_tradnl" w:eastAsia="es-ES_tradnl"/>
        </w:rPr>
      </w:pPr>
      <w:r w:rsidRPr="0028275D">
        <w:rPr>
          <w:rFonts w:eastAsia="MS Mincho"/>
          <w:b/>
          <w:u w:val="single"/>
          <w:lang w:val="es-ES_tradnl" w:eastAsia="es-ES_tradnl"/>
        </w:rPr>
        <w:t>CONSIDERANDO:</w:t>
      </w:r>
    </w:p>
    <w:p w14:paraId="21748C91" w14:textId="519A609D" w:rsidR="0028275D" w:rsidRPr="0028275D" w:rsidRDefault="0028275D" w:rsidP="0028275D">
      <w:pPr>
        <w:spacing w:after="240" w:line="360" w:lineRule="auto"/>
        <w:ind w:firstLine="1843"/>
        <w:jc w:val="both"/>
        <w:rPr>
          <w:color w:val="000000" w:themeColor="text1"/>
        </w:rPr>
      </w:pPr>
      <w:r w:rsidRPr="0028275D">
        <w:rPr>
          <w:color w:val="000000" w:themeColor="text1"/>
        </w:rPr>
        <w:t xml:space="preserve">Que mediante nota presentada por el Arq. Tomás </w:t>
      </w:r>
      <w:proofErr w:type="spellStart"/>
      <w:r w:rsidRPr="0028275D">
        <w:rPr>
          <w:color w:val="000000" w:themeColor="text1"/>
        </w:rPr>
        <w:t>Reeves</w:t>
      </w:r>
      <w:proofErr w:type="spellEnd"/>
      <w:r w:rsidRPr="0028275D">
        <w:rPr>
          <w:color w:val="000000" w:themeColor="text1"/>
        </w:rPr>
        <w:t>, socio de la firma Punta Norte Chascomús S.A., concesionaria del complejo “Punta Norte”, solicita la exención del período de gracia en el pago del canon municipal hasta el 31 de diciembre de 2028 y la extensión del contrato de concesión por tres (3) años adicionales</w:t>
      </w:r>
    </w:p>
    <w:p w14:paraId="00000007" w14:textId="77777777" w:rsidR="00E53085" w:rsidRPr="0028275D" w:rsidRDefault="00AD7B02" w:rsidP="0028275D">
      <w:pPr>
        <w:spacing w:after="240" w:line="360" w:lineRule="auto"/>
        <w:ind w:firstLine="1843"/>
        <w:jc w:val="both"/>
        <w:rPr>
          <w:color w:val="000000" w:themeColor="text1"/>
        </w:rPr>
      </w:pPr>
      <w:r w:rsidRPr="0028275D">
        <w:rPr>
          <w:color w:val="000000" w:themeColor="text1"/>
        </w:rPr>
        <w:t>Que la firma concesionaria ha ejecutado importantes obras de infraestructura y equipamiento, superando ampliamente lo previsto en el pliego original y contribuyendo al desarrollo integral del frente costero norte de la laguna;</w:t>
      </w:r>
    </w:p>
    <w:p w14:paraId="00000009" w14:textId="77777777" w:rsidR="00E53085" w:rsidRPr="0028275D" w:rsidRDefault="00AD7B02" w:rsidP="0028275D">
      <w:pPr>
        <w:spacing w:after="240" w:line="360" w:lineRule="auto"/>
        <w:ind w:firstLine="1843"/>
        <w:jc w:val="both"/>
        <w:rPr>
          <w:color w:val="000000" w:themeColor="text1"/>
        </w:rPr>
      </w:pPr>
      <w:r w:rsidRPr="0028275D">
        <w:rPr>
          <w:color w:val="000000" w:themeColor="text1"/>
        </w:rPr>
        <w:t xml:space="preserve">Que dichas obras comprenden la instalación de redes de agua, cloacas y electricidad, la nivelación y </w:t>
      </w:r>
      <w:proofErr w:type="spellStart"/>
      <w:r w:rsidRPr="0028275D">
        <w:rPr>
          <w:color w:val="000000" w:themeColor="text1"/>
        </w:rPr>
        <w:t>parquización</w:t>
      </w:r>
      <w:proofErr w:type="spellEnd"/>
      <w:r w:rsidRPr="0028275D">
        <w:rPr>
          <w:color w:val="000000" w:themeColor="text1"/>
        </w:rPr>
        <w:t xml:space="preserve"> del predio, la construcción de </w:t>
      </w:r>
      <w:proofErr w:type="spellStart"/>
      <w:r w:rsidRPr="0028275D">
        <w:rPr>
          <w:color w:val="000000" w:themeColor="text1"/>
        </w:rPr>
        <w:t>decks</w:t>
      </w:r>
      <w:proofErr w:type="spellEnd"/>
      <w:r w:rsidRPr="0028275D">
        <w:rPr>
          <w:color w:val="000000" w:themeColor="text1"/>
        </w:rPr>
        <w:t>, pérgolas, módulos de servicio, sanitarios, cocina, depósito, cámara de frío, un mirador–escenario y diversos espacios de uso recreativo, configurando un espacio de alta calidad turística, deportiva y ambiental;</w:t>
      </w:r>
    </w:p>
    <w:p w14:paraId="0000000B" w14:textId="080686C6" w:rsidR="00E53085" w:rsidRPr="0028275D" w:rsidRDefault="00AD7B02" w:rsidP="0028275D">
      <w:pPr>
        <w:spacing w:after="240" w:line="360" w:lineRule="auto"/>
        <w:ind w:firstLine="1843"/>
        <w:jc w:val="both"/>
        <w:rPr>
          <w:color w:val="000000" w:themeColor="text1"/>
        </w:rPr>
      </w:pPr>
      <w:r w:rsidRPr="0028275D">
        <w:rPr>
          <w:color w:val="000000" w:themeColor="text1"/>
        </w:rPr>
        <w:t>Que la inversión efectivamente realizada supera los USD 200.000</w:t>
      </w:r>
      <w:r w:rsidR="0028275D">
        <w:rPr>
          <w:color w:val="000000" w:themeColor="text1"/>
        </w:rPr>
        <w:t xml:space="preserve"> (Dólares Estadounidenses Doscientos Mil)</w:t>
      </w:r>
      <w:r w:rsidRPr="0028275D">
        <w:rPr>
          <w:color w:val="000000" w:themeColor="text1"/>
        </w:rPr>
        <w:t>, y las obras proyectadas - entre ellas la construcción de un restaurante, una plaza de juegos y un muelle - implican un desembolso estimado adicional de USD 320.000</w:t>
      </w:r>
      <w:r w:rsidR="0028275D">
        <w:rPr>
          <w:color w:val="000000" w:themeColor="text1"/>
        </w:rPr>
        <w:t xml:space="preserve"> (Dólares Estadounidenses Trescientos Veinte Mil)</w:t>
      </w:r>
      <w:r w:rsidRPr="0028275D">
        <w:rPr>
          <w:color w:val="000000" w:themeColor="text1"/>
        </w:rPr>
        <w:t>, reafirmando el compromiso de la firma con el desarrollo turístico y recreativo de la ciudad;</w:t>
      </w:r>
    </w:p>
    <w:p w14:paraId="42231A10" w14:textId="5FD5A911" w:rsidR="00382A7B" w:rsidRDefault="00382A7B" w:rsidP="0028275D">
      <w:pPr>
        <w:spacing w:after="240" w:line="360" w:lineRule="auto"/>
        <w:ind w:firstLine="1843"/>
        <w:jc w:val="both"/>
        <w:rPr>
          <w:color w:val="000000" w:themeColor="text1"/>
        </w:rPr>
      </w:pPr>
      <w:r>
        <w:rPr>
          <w:color w:val="000000" w:themeColor="text1"/>
        </w:rPr>
        <w:t xml:space="preserve">Que la curva de inversión inicial para el periodo Septiembre 2024 – Abril 2026 ascendía a $ 335.084.223 (Pesos Trescientos Treinta y Cinco Millones Ochenta y Cuatro Mil Doscientos Veintitrés) en su totalidad, siendo que la nueva curva de inversión para el periodo Septiembre 2024 </w:t>
      </w:r>
      <w:r w:rsidR="00F42584">
        <w:rPr>
          <w:color w:val="000000" w:themeColor="text1"/>
        </w:rPr>
        <w:t>–</w:t>
      </w:r>
      <w:r>
        <w:rPr>
          <w:color w:val="000000" w:themeColor="text1"/>
        </w:rPr>
        <w:t xml:space="preserve"> </w:t>
      </w:r>
      <w:r w:rsidR="00F42584">
        <w:rPr>
          <w:color w:val="000000" w:themeColor="text1"/>
        </w:rPr>
        <w:t>Agosto 2026</w:t>
      </w:r>
      <w:r>
        <w:rPr>
          <w:color w:val="000000" w:themeColor="text1"/>
        </w:rPr>
        <w:t xml:space="preserve"> asciende a $ 738.000.000 (Pes</w:t>
      </w:r>
      <w:r w:rsidR="00F42584">
        <w:rPr>
          <w:color w:val="000000" w:themeColor="text1"/>
        </w:rPr>
        <w:t>o</w:t>
      </w:r>
      <w:r>
        <w:rPr>
          <w:color w:val="000000" w:themeColor="text1"/>
        </w:rPr>
        <w:t>s Setecientos Treinta y Ocho Millones) en su totalidad</w:t>
      </w:r>
    </w:p>
    <w:p w14:paraId="0000000D" w14:textId="1C0BE376" w:rsidR="00E53085" w:rsidRPr="0028275D" w:rsidRDefault="00AD7B02" w:rsidP="0028275D">
      <w:pPr>
        <w:spacing w:after="240" w:line="360" w:lineRule="auto"/>
        <w:ind w:firstLine="1843"/>
        <w:jc w:val="both"/>
        <w:rPr>
          <w:color w:val="000000" w:themeColor="text1"/>
        </w:rPr>
      </w:pPr>
      <w:r w:rsidRPr="0028275D">
        <w:rPr>
          <w:color w:val="000000" w:themeColor="text1"/>
        </w:rPr>
        <w:t>Que la ampliación del uso del predio contigu</w:t>
      </w:r>
      <w:r w:rsidR="0028275D">
        <w:rPr>
          <w:color w:val="000000" w:themeColor="text1"/>
        </w:rPr>
        <w:t>o, autorizad</w:t>
      </w:r>
      <w:r w:rsidR="003939FF">
        <w:rPr>
          <w:color w:val="000000" w:themeColor="text1"/>
        </w:rPr>
        <w:t>o</w:t>
      </w:r>
      <w:r w:rsidR="0028275D">
        <w:rPr>
          <w:color w:val="000000" w:themeColor="text1"/>
        </w:rPr>
        <w:t xml:space="preserve"> mediante Ordenanza N° 5939/2025</w:t>
      </w:r>
      <w:r w:rsidR="003939FF">
        <w:rPr>
          <w:color w:val="000000" w:themeColor="text1"/>
        </w:rPr>
        <w:t xml:space="preserve"> y Decreto N° 708/2025</w:t>
      </w:r>
      <w:r w:rsidRPr="0028275D">
        <w:rPr>
          <w:color w:val="000000" w:themeColor="text1"/>
        </w:rPr>
        <w:t xml:space="preserve">, permitirá integrar de manera armónica las </w:t>
      </w:r>
      <w:r w:rsidRPr="0028275D">
        <w:rPr>
          <w:color w:val="000000" w:themeColor="text1"/>
        </w:rPr>
        <w:lastRenderedPageBreak/>
        <w:t xml:space="preserve">actividades náuticas (kayaks, </w:t>
      </w:r>
      <w:proofErr w:type="spellStart"/>
      <w:r w:rsidRPr="0028275D">
        <w:rPr>
          <w:color w:val="000000" w:themeColor="text1"/>
        </w:rPr>
        <w:t>kite</w:t>
      </w:r>
      <w:proofErr w:type="spellEnd"/>
      <w:r w:rsidRPr="0028275D">
        <w:rPr>
          <w:color w:val="000000" w:themeColor="text1"/>
        </w:rPr>
        <w:t>-surf, paddle y otras), optimizando la utilización del espacio y reforzando su valor paisajístico y funcional;</w:t>
      </w:r>
    </w:p>
    <w:p w14:paraId="0000000F" w14:textId="77AF2C77" w:rsidR="00E53085" w:rsidRPr="0028275D" w:rsidRDefault="00AD7B02" w:rsidP="0028275D">
      <w:pPr>
        <w:spacing w:after="240" w:line="360" w:lineRule="auto"/>
        <w:ind w:firstLine="1843"/>
        <w:jc w:val="both"/>
        <w:rPr>
          <w:color w:val="000000" w:themeColor="text1"/>
        </w:rPr>
      </w:pPr>
      <w:r w:rsidRPr="0028275D">
        <w:rPr>
          <w:color w:val="000000" w:themeColor="text1"/>
        </w:rPr>
        <w:t xml:space="preserve">Que estas acciones resultan coherentes con la política municipal de promoción del turismo y del desarrollo sostenible de la </w:t>
      </w:r>
      <w:r w:rsidR="003939FF">
        <w:rPr>
          <w:color w:val="000000" w:themeColor="text1"/>
        </w:rPr>
        <w:t>zona ribereña</w:t>
      </w:r>
      <w:r w:rsidRPr="0028275D">
        <w:rPr>
          <w:color w:val="000000" w:themeColor="text1"/>
        </w:rPr>
        <w:t>, y que el desempeño de la concesionaria ha demostrado un cumplimiento satisfactorio de sus compromisos contractuales, manteniendo el predio en condiciones de uso, limpieza y estética acordes al entorno;</w:t>
      </w:r>
    </w:p>
    <w:p w14:paraId="00000011" w14:textId="28142B29" w:rsidR="00E53085" w:rsidRPr="0028275D" w:rsidRDefault="00AD7B02" w:rsidP="0028275D">
      <w:pPr>
        <w:spacing w:after="240" w:line="360" w:lineRule="auto"/>
        <w:ind w:firstLine="1843"/>
        <w:jc w:val="both"/>
        <w:rPr>
          <w:color w:val="000000" w:themeColor="text1"/>
        </w:rPr>
      </w:pPr>
      <w:r w:rsidRPr="0028275D">
        <w:rPr>
          <w:color w:val="000000" w:themeColor="text1"/>
        </w:rPr>
        <w:t xml:space="preserve">Que en función de las inversiones realizadas y comprometidas, y con el objetivo de garantizar la recuperación económica y sustentabilidad del proyecto, corresponde acceder de manera favorable a la solicitud presentada, en reconocimiento al impacto positivo del emprendimiento para la </w:t>
      </w:r>
      <w:r w:rsidR="003939FF">
        <w:rPr>
          <w:color w:val="000000" w:themeColor="text1"/>
        </w:rPr>
        <w:t>C</w:t>
      </w:r>
      <w:r w:rsidRPr="0028275D">
        <w:rPr>
          <w:color w:val="000000" w:themeColor="text1"/>
        </w:rPr>
        <w:t>iudad de Chascomús;</w:t>
      </w:r>
    </w:p>
    <w:p w14:paraId="5186A4BD" w14:textId="77777777" w:rsidR="003939FF" w:rsidRDefault="003939FF" w:rsidP="003939FF">
      <w:pPr>
        <w:spacing w:after="120" w:line="360" w:lineRule="auto"/>
        <w:ind w:firstLine="1843"/>
        <w:jc w:val="both"/>
      </w:pPr>
      <w:r>
        <w:t>Por ello, el Intendente Municipal, en uso de sus atribuciones, eleva el siguiente proyecto de</w:t>
      </w:r>
    </w:p>
    <w:p w14:paraId="00000018" w14:textId="77777777" w:rsidR="00E53085" w:rsidRPr="003939FF" w:rsidRDefault="00AD7B02" w:rsidP="003939FF">
      <w:pPr>
        <w:spacing w:after="240" w:line="360" w:lineRule="auto"/>
        <w:jc w:val="center"/>
        <w:rPr>
          <w:rFonts w:eastAsia="Times New Roman"/>
          <w:b/>
          <w:bCs/>
          <w:u w:val="single"/>
        </w:rPr>
      </w:pPr>
      <w:r w:rsidRPr="003939FF">
        <w:rPr>
          <w:rFonts w:eastAsia="Times New Roman"/>
          <w:b/>
          <w:bCs/>
          <w:u w:val="single"/>
        </w:rPr>
        <w:t>ORDENANZA</w:t>
      </w:r>
    </w:p>
    <w:p w14:paraId="6FAB0BAC" w14:textId="6A9260CA" w:rsidR="003939FF" w:rsidRPr="003939FF" w:rsidRDefault="00AD7B02" w:rsidP="003939FF">
      <w:pPr>
        <w:jc w:val="both"/>
      </w:pPr>
      <w:r w:rsidRPr="003939FF">
        <w:rPr>
          <w:b/>
          <w:u w:val="single"/>
        </w:rPr>
        <w:t>Artículo 1°:</w:t>
      </w:r>
      <w:r>
        <w:t xml:space="preserve"> </w:t>
      </w:r>
      <w:r w:rsidR="003939FF" w:rsidRPr="00C7428E">
        <w:rPr>
          <w:rFonts w:eastAsia="MS Mincho"/>
          <w:bCs/>
          <w:lang w:val="es-ES_tradnl" w:eastAsia="es-ES_tradnl"/>
        </w:rPr>
        <w:t>Extiéndase el período de gracia sobre el canon de la Licitación Pública N°</w:t>
      </w:r>
      <w:r w:rsidR="003939FF">
        <w:rPr>
          <w:rFonts w:eastAsia="MS Mincho"/>
          <w:bCs/>
          <w:lang w:val="es-ES_tradnl" w:eastAsia="es-ES_tradnl"/>
        </w:rPr>
        <w:t xml:space="preserve"> 12</w:t>
      </w:r>
      <w:r w:rsidR="003939FF" w:rsidRPr="00C7428E">
        <w:rPr>
          <w:rFonts w:eastAsia="MS Mincho"/>
          <w:bCs/>
          <w:lang w:val="es-ES_tradnl" w:eastAsia="es-ES_tradnl"/>
        </w:rPr>
        <w:t>/202</w:t>
      </w:r>
      <w:r w:rsidR="003939FF">
        <w:rPr>
          <w:rFonts w:eastAsia="MS Mincho"/>
          <w:bCs/>
          <w:lang w:val="es-ES_tradnl" w:eastAsia="es-ES_tradnl"/>
        </w:rPr>
        <w:t>3, Parador</w:t>
      </w:r>
      <w:r w:rsidR="003939FF" w:rsidRPr="00C7428E">
        <w:rPr>
          <w:rFonts w:eastAsia="MS Mincho"/>
          <w:bCs/>
          <w:lang w:val="es-ES_tradnl" w:eastAsia="es-ES_tradnl"/>
        </w:rPr>
        <w:t xml:space="preserve"> “</w:t>
      </w:r>
      <w:r w:rsidR="003939FF">
        <w:rPr>
          <w:rFonts w:eastAsia="MS Mincho"/>
          <w:bCs/>
          <w:lang w:val="es-ES_tradnl" w:eastAsia="es-ES_tradnl"/>
        </w:rPr>
        <w:t>Punta Norte</w:t>
      </w:r>
      <w:r w:rsidR="003939FF" w:rsidRPr="00C7428E">
        <w:rPr>
          <w:rFonts w:eastAsia="MS Mincho"/>
          <w:bCs/>
          <w:lang w:val="es-ES_tradnl" w:eastAsia="es-ES_tradnl"/>
        </w:rPr>
        <w:t>”</w:t>
      </w:r>
      <w:r w:rsidR="003939FF">
        <w:rPr>
          <w:rFonts w:eastAsia="MS Mincho"/>
          <w:bCs/>
          <w:lang w:val="es-ES_tradnl" w:eastAsia="es-ES_tradnl"/>
        </w:rPr>
        <w:t>,</w:t>
      </w:r>
      <w:r w:rsidR="003939FF" w:rsidRPr="00C7428E">
        <w:rPr>
          <w:rFonts w:eastAsia="MS Mincho"/>
          <w:bCs/>
          <w:lang w:val="es-ES_tradnl" w:eastAsia="es-ES_tradnl"/>
        </w:rPr>
        <w:t xml:space="preserve"> cuyo adjudicatario es </w:t>
      </w:r>
      <w:r w:rsidR="003939FF">
        <w:rPr>
          <w:rFonts w:eastAsia="MS Mincho"/>
          <w:bCs/>
          <w:lang w:val="es-ES_tradnl" w:eastAsia="es-ES_tradnl"/>
        </w:rPr>
        <w:t>Punta Norte Chascomús S.A.,</w:t>
      </w:r>
      <w:r w:rsidR="003939FF" w:rsidRPr="00C7428E">
        <w:rPr>
          <w:rFonts w:eastAsia="MS Mincho"/>
          <w:bCs/>
          <w:lang w:val="es-ES_tradnl" w:eastAsia="es-ES_tradnl"/>
        </w:rPr>
        <w:t xml:space="preserve"> </w:t>
      </w:r>
      <w:r w:rsidR="003939FF">
        <w:rPr>
          <w:rFonts w:eastAsia="MS Mincho"/>
          <w:bCs/>
          <w:lang w:val="es-ES_tradnl" w:eastAsia="es-ES_tradnl"/>
        </w:rPr>
        <w:t>hasta el 31 de Diciembre de 2028, en atención a las inversiones ejecutadas y comprometidas en el marco del contrato de concesión</w:t>
      </w:r>
      <w:r w:rsidR="00F42584">
        <w:rPr>
          <w:rFonts w:eastAsia="MS Mincho"/>
          <w:bCs/>
          <w:lang w:val="es-ES_tradnl" w:eastAsia="es-ES_tradnl"/>
        </w:rPr>
        <w:t>, siempre y cuando se cumplan con las mismas</w:t>
      </w:r>
      <w:r w:rsidR="003939FF" w:rsidRPr="00C7428E">
        <w:rPr>
          <w:rFonts w:eastAsia="MS Mincho"/>
          <w:bCs/>
          <w:lang w:val="es-ES_tradnl" w:eastAsia="es-ES_tradnl"/>
        </w:rPr>
        <w:t>.</w:t>
      </w:r>
    </w:p>
    <w:p w14:paraId="0000001B" w14:textId="77777777" w:rsidR="00E53085" w:rsidRDefault="00E53085">
      <w:pPr>
        <w:jc w:val="both"/>
      </w:pPr>
    </w:p>
    <w:p w14:paraId="0000001C" w14:textId="0FA89365" w:rsidR="00E53085" w:rsidRDefault="00AD7B02">
      <w:pPr>
        <w:jc w:val="both"/>
      </w:pPr>
      <w:r w:rsidRPr="00556798">
        <w:rPr>
          <w:b/>
          <w:u w:val="single"/>
        </w:rPr>
        <w:t>Artículo 2°:</w:t>
      </w:r>
      <w:r>
        <w:rPr>
          <w:b/>
        </w:rPr>
        <w:t xml:space="preserve"> </w:t>
      </w:r>
      <w:proofErr w:type="spellStart"/>
      <w:r>
        <w:t>Apruébase</w:t>
      </w:r>
      <w:proofErr w:type="spellEnd"/>
      <w:r>
        <w:t xml:space="preserve"> la extensión del plazo de concesión del predio denominado “Punta Norte” por tres (3) años adicionales a los nueve (9) originalmente adjudicados, contados a partir de la fecha de finalización del contrato vigente</w:t>
      </w:r>
      <w:r w:rsidR="00F42584">
        <w:t>, siempre y cuando se cumpla con las inversiones proyectadas</w:t>
      </w:r>
      <w:r>
        <w:t>.</w:t>
      </w:r>
    </w:p>
    <w:p w14:paraId="0000001D" w14:textId="77777777" w:rsidR="00E53085" w:rsidRDefault="00E53085">
      <w:pPr>
        <w:jc w:val="both"/>
      </w:pPr>
    </w:p>
    <w:p w14:paraId="3733A5E5" w14:textId="772414F3" w:rsidR="00A91790" w:rsidRDefault="00AD7B02">
      <w:pPr>
        <w:jc w:val="both"/>
      </w:pPr>
      <w:r w:rsidRPr="00556798">
        <w:rPr>
          <w:b/>
          <w:u w:val="single"/>
        </w:rPr>
        <w:t xml:space="preserve">Artículo </w:t>
      </w:r>
      <w:r w:rsidR="00A91790">
        <w:rPr>
          <w:b/>
          <w:u w:val="single"/>
        </w:rPr>
        <w:t>3</w:t>
      </w:r>
      <w:r w:rsidRPr="00556798">
        <w:rPr>
          <w:b/>
          <w:u w:val="single"/>
        </w:rPr>
        <w:t>°:</w:t>
      </w:r>
      <w:r>
        <w:t xml:space="preserve"> Las nuevas obras o modificaciones estructurales que se desarrollen en el predio y su ampliación deberán contar con la aprobación previa de las áreas técnicas correspondientes del Departamento Ejecutivo</w:t>
      </w:r>
      <w:r w:rsidR="00A91790">
        <w:t xml:space="preserve">, </w:t>
      </w:r>
      <w:r w:rsidR="00A91790" w:rsidRPr="00A91790">
        <w:t xml:space="preserve">quedando todas las mejoras a introducir durante el período en que </w:t>
      </w:r>
      <w:r w:rsidR="00A91790">
        <w:rPr>
          <w:rFonts w:eastAsia="MS Mincho"/>
          <w:bCs/>
          <w:lang w:val="es-ES_tradnl" w:eastAsia="es-ES_tradnl"/>
        </w:rPr>
        <w:t xml:space="preserve">Punta Norte Chascomús S.A. </w:t>
      </w:r>
      <w:r w:rsidR="00A91790" w:rsidRPr="00A91790">
        <w:t xml:space="preserve">se encuentre en la tenencia del inmueble de propiedad de </w:t>
      </w:r>
      <w:r w:rsidR="00A91790">
        <w:t>la Municipalidad</w:t>
      </w:r>
      <w:r w:rsidR="00A91790" w:rsidRPr="00A91790">
        <w:t xml:space="preserve"> sin que de ello surja derecho a compensación o retribución alguna.</w:t>
      </w:r>
    </w:p>
    <w:p w14:paraId="00000021" w14:textId="77777777" w:rsidR="00E53085" w:rsidRDefault="00E53085">
      <w:pPr>
        <w:jc w:val="both"/>
        <w:rPr>
          <w:b/>
        </w:rPr>
      </w:pPr>
    </w:p>
    <w:p w14:paraId="00000022" w14:textId="700813CD" w:rsidR="00E53085" w:rsidRDefault="00A91790">
      <w:pPr>
        <w:jc w:val="both"/>
      </w:pPr>
      <w:r>
        <w:rPr>
          <w:b/>
          <w:u w:val="single"/>
        </w:rPr>
        <w:t>Artículo 4</w:t>
      </w:r>
      <w:r w:rsidR="00AD7B02" w:rsidRPr="00556798">
        <w:rPr>
          <w:b/>
          <w:u w:val="single"/>
        </w:rPr>
        <w:t>°:</w:t>
      </w:r>
      <w:r w:rsidR="00AD7B02">
        <w:t xml:space="preserve"> De forma.-</w:t>
      </w:r>
    </w:p>
    <w:p w14:paraId="00000023" w14:textId="77777777" w:rsidR="00E53085" w:rsidRDefault="00E53085"/>
    <w:sectPr w:rsidR="00E53085">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D73B6" w14:textId="77777777" w:rsidR="00E24F1B" w:rsidRDefault="00E24F1B" w:rsidP="0028275D">
      <w:pPr>
        <w:spacing w:line="240" w:lineRule="auto"/>
      </w:pPr>
      <w:r>
        <w:separator/>
      </w:r>
    </w:p>
  </w:endnote>
  <w:endnote w:type="continuationSeparator" w:id="0">
    <w:p w14:paraId="700E6EBA" w14:textId="77777777" w:rsidR="00E24F1B" w:rsidRDefault="00E24F1B" w:rsidP="002827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71795" w14:textId="77777777" w:rsidR="00E24F1B" w:rsidRDefault="00E24F1B" w:rsidP="0028275D">
      <w:pPr>
        <w:spacing w:line="240" w:lineRule="auto"/>
      </w:pPr>
      <w:r>
        <w:separator/>
      </w:r>
    </w:p>
  </w:footnote>
  <w:footnote w:type="continuationSeparator" w:id="0">
    <w:p w14:paraId="2FB041D5" w14:textId="77777777" w:rsidR="00E24F1B" w:rsidRDefault="00E24F1B" w:rsidP="002827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2BD2A" w14:textId="76F362BC" w:rsidR="00AD7B02" w:rsidRDefault="00AD7B02" w:rsidP="00382A7B">
    <w:pPr>
      <w:pStyle w:val="Encabezado"/>
      <w:tabs>
        <w:tab w:val="clear" w:pos="8504"/>
        <w:tab w:val="right" w:pos="9072"/>
      </w:tabs>
    </w:pPr>
    <w:r>
      <w:rPr>
        <w:noProof/>
        <w:lang w:val="en-US" w:eastAsia="en-US"/>
      </w:rPr>
      <w:drawing>
        <wp:inline distT="0" distB="0" distL="0" distR="0" wp14:anchorId="721FC3A6" wp14:editId="4128756D">
          <wp:extent cx="5662779" cy="576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cstate="print">
                    <a:extLst>
                      <a:ext uri="{28A0092B-C50C-407E-A947-70E740481C1C}">
                        <a14:useLocalDpi xmlns:a14="http://schemas.microsoft.com/office/drawing/2010/main" val="0"/>
                      </a:ext>
                    </a:extLst>
                  </a:blip>
                  <a:srcRect l="7543" t="25355" r="7441" b="26754"/>
                  <a:stretch/>
                </pic:blipFill>
                <pic:spPr bwMode="auto">
                  <a:xfrm>
                    <a:off x="0" y="0"/>
                    <a:ext cx="5662779" cy="576000"/>
                  </a:xfrm>
                  <a:prstGeom prst="rect">
                    <a:avLst/>
                  </a:prstGeom>
                  <a:ln>
                    <a:noFill/>
                  </a:ln>
                  <a:extLst>
                    <a:ext uri="{53640926-AAD7-44D8-BBD7-CCE9431645EC}">
                      <a14:shadowObscured xmlns:a14="http://schemas.microsoft.com/office/drawing/2010/main"/>
                    </a:ext>
                  </a:extLst>
                </pic:spPr>
              </pic:pic>
            </a:graphicData>
          </a:graphic>
        </wp:inline>
      </w:drawing>
    </w:r>
  </w:p>
  <w:p w14:paraId="21630F7A" w14:textId="77777777" w:rsidR="00AD7B02" w:rsidRDefault="00AD7B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085"/>
    <w:rsid w:val="001140AE"/>
    <w:rsid w:val="0028275D"/>
    <w:rsid w:val="00382A7B"/>
    <w:rsid w:val="003939FF"/>
    <w:rsid w:val="00556798"/>
    <w:rsid w:val="0062518D"/>
    <w:rsid w:val="00716EB3"/>
    <w:rsid w:val="009C2EEB"/>
    <w:rsid w:val="00A91790"/>
    <w:rsid w:val="00AD7B02"/>
    <w:rsid w:val="00E24F1B"/>
    <w:rsid w:val="00E53085"/>
    <w:rsid w:val="00E60D20"/>
    <w:rsid w:val="00F425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4A8E1C-43B0-42D5-9090-8F205C15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28275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8275D"/>
  </w:style>
  <w:style w:type="paragraph" w:styleId="Piedepgina">
    <w:name w:val="footer"/>
    <w:basedOn w:val="Normal"/>
    <w:link w:val="PiedepginaCar"/>
    <w:uiPriority w:val="99"/>
    <w:unhideWhenUsed/>
    <w:rsid w:val="0028275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8275D"/>
  </w:style>
  <w:style w:type="paragraph" w:styleId="Textodeglobo">
    <w:name w:val="Balloon Text"/>
    <w:basedOn w:val="Normal"/>
    <w:link w:val="TextodegloboCar"/>
    <w:uiPriority w:val="99"/>
    <w:semiHidden/>
    <w:unhideWhenUsed/>
    <w:rsid w:val="0028275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7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 Chascomús</dc:creator>
  <cp:lastModifiedBy>SIMM</cp:lastModifiedBy>
  <cp:revision>2</cp:revision>
  <cp:lastPrinted>2025-11-20T16:52:00Z</cp:lastPrinted>
  <dcterms:created xsi:type="dcterms:W3CDTF">2025-11-26T12:00:00Z</dcterms:created>
  <dcterms:modified xsi:type="dcterms:W3CDTF">2025-11-26T12:00:00Z</dcterms:modified>
</cp:coreProperties>
</file>