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firstLine="170"/>
        <w:jc w:val="right"/>
        <w:rPr>
          <w:rFonts w:ascii="Calibri" w:cs="Calibri" w:eastAsia="Calibri" w:hAnsi="Calibri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highlight w:val="white"/>
          <w:vertAlign w:val="baseline"/>
          <w:rtl w:val="0"/>
        </w:rPr>
        <w:t xml:space="preserve">Chascomús, 20 de abril de 2026</w:t>
      </w:r>
    </w:p>
    <w:p w:rsidR="00000000" w:rsidDel="00000000" w:rsidP="00000000" w:rsidRDefault="00000000" w:rsidRPr="00000000" w14:paraId="00000002">
      <w:pPr>
        <w:ind w:firstLine="170"/>
        <w:jc w:val="right"/>
        <w:rPr>
          <w:rFonts w:ascii="Calibri" w:cs="Calibri" w:eastAsia="Calibri" w:hAnsi="Calibri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firstLine="170"/>
        <w:rPr>
          <w:rFonts w:ascii="Calibri" w:cs="Calibri" w:eastAsia="Calibri" w:hAnsi="Calibri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vertAlign w:val="baseline"/>
          <w:rtl w:val="0"/>
        </w:rPr>
        <w:t xml:space="preserve">Sr. Presidente del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firstLine="170"/>
        <w:rPr>
          <w:rFonts w:ascii="Calibri" w:cs="Calibri" w:eastAsia="Calibri" w:hAnsi="Calibri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vertAlign w:val="baseline"/>
          <w:rtl w:val="0"/>
        </w:rPr>
        <w:t xml:space="preserve">Honorable Concejo Deliberante de Chascomús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170"/>
        <w:rPr>
          <w:rFonts w:ascii="Calibri" w:cs="Calibri" w:eastAsia="Calibri" w:hAnsi="Calibri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vertAlign w:val="baseline"/>
          <w:rtl w:val="0"/>
        </w:rPr>
        <w:t xml:space="preserve">Oscar Fredy Toledo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firstLine="170"/>
        <w:rPr>
          <w:rFonts w:ascii="Calibri" w:cs="Calibri" w:eastAsia="Calibri" w:hAnsi="Calibri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vertAlign w:val="baseline"/>
          <w:rtl w:val="0"/>
        </w:rPr>
        <w:t xml:space="preserve">S/D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firstLine="170"/>
        <w:rPr>
          <w:rFonts w:ascii="Calibri" w:cs="Calibri" w:eastAsia="Calibri" w:hAnsi="Calibri"/>
          <w:sz w:val="22"/>
          <w:szCs w:val="22"/>
          <w:vertAlign w:val="baseline"/>
        </w:rPr>
      </w:pPr>
      <w:bookmarkStart w:colFirst="0" w:colLast="0" w:name="_heading=h.fhqmg2sbh6jw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170"/>
        <w:jc w:val="center"/>
        <w:rPr>
          <w:rFonts w:ascii="Calibri" w:cs="Calibri" w:eastAsia="Calibri" w:hAnsi="Calibri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ADHESIÓN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vertAlign w:val="baseline"/>
          <w:rtl w:val="0"/>
        </w:rPr>
        <w:t xml:space="preserve"> A LA LEY PROVINCIAL 15.513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170"/>
        <w:rPr>
          <w:rFonts w:ascii="Calibri" w:cs="Calibri" w:eastAsia="Calibri" w:hAnsi="Calibri"/>
          <w:b w:val="0"/>
          <w:bCs w:val="0"/>
          <w:sz w:val="22"/>
          <w:szCs w:val="22"/>
          <w:vertAlign w:val="baseline"/>
        </w:rPr>
      </w:pPr>
      <w:bookmarkStart w:colFirst="0" w:colLast="0" w:name="_heading=h.gfi0zoxtpcdn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vertAlign w:val="baseline"/>
          <w:rtl w:val="0"/>
        </w:rPr>
        <w:t xml:space="preserve">VISTO: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170"/>
        <w:rPr>
          <w:rFonts w:ascii="Calibri" w:cs="Calibri" w:eastAsia="Calibri" w:hAnsi="Calibri"/>
          <w:sz w:val="22"/>
          <w:szCs w:val="22"/>
          <w:vertAlign w:val="baseline"/>
        </w:rPr>
      </w:pPr>
      <w:bookmarkStart w:colFirst="0" w:colLast="0" w:name="_heading=h.cn5r7byjbill" w:id="2"/>
      <w:bookmarkEnd w:id="2"/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La Ley 15.513, que incorpora la utilización del Índice de Crianza elaborado por el Instituto Nacional de Estadística y Censos (INDEC) como referencia para la determinación de la cuota alimentaria; y la Ley 26.485 de protección integral para prevenir, sancionar y erradicar la violencia contra las mujeres; y</w:t>
      </w:r>
    </w:p>
    <w:p w:rsidR="00000000" w:rsidDel="00000000" w:rsidP="00000000" w:rsidRDefault="00000000" w:rsidRPr="00000000" w14:paraId="0000000B">
      <w:pPr>
        <w:ind w:firstLine="170"/>
        <w:rPr>
          <w:rFonts w:ascii="Calibri" w:cs="Calibri" w:eastAsia="Calibri" w:hAnsi="Calibri"/>
          <w:sz w:val="22"/>
          <w:szCs w:val="22"/>
          <w:vertAlign w:val="baseline"/>
        </w:rPr>
      </w:pPr>
      <w:bookmarkStart w:colFirst="0" w:colLast="0" w:name="_heading=h.y44cdun3jg4c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firstLine="170"/>
        <w:rPr>
          <w:rFonts w:ascii="Calibri" w:cs="Calibri" w:eastAsia="Calibri" w:hAnsi="Calibri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vertAlign w:val="baseline"/>
          <w:rtl w:val="0"/>
        </w:rPr>
        <w:t xml:space="preserve">CONSIDERANDO: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firstLine="170"/>
        <w:rPr>
          <w:rFonts w:ascii="Calibri" w:cs="Calibri" w:eastAsia="Calibri" w:hAnsi="Calibri"/>
          <w:sz w:val="22"/>
          <w:szCs w:val="22"/>
          <w:vertAlign w:val="baseline"/>
        </w:rPr>
      </w:pPr>
      <w:bookmarkStart w:colFirst="0" w:colLast="0" w:name="_heading=h.r3808rhltlt6" w:id="4"/>
      <w:bookmarkEnd w:id="4"/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Que la cuota alimentaria constituye un derecho fundamental de niñas, niños y adolescentes, vinculado a su derecho a un nivel de vida adecuado;</w:t>
      </w:r>
    </w:p>
    <w:p w:rsidR="00000000" w:rsidDel="00000000" w:rsidP="00000000" w:rsidRDefault="00000000" w:rsidRPr="00000000" w14:paraId="0000000E">
      <w:pPr>
        <w:ind w:firstLine="170"/>
        <w:rPr>
          <w:rFonts w:ascii="Calibri" w:cs="Calibri" w:eastAsia="Calibri" w:hAnsi="Calibri"/>
          <w:sz w:val="22"/>
          <w:szCs w:val="22"/>
          <w:vertAlign w:val="baseline"/>
        </w:rPr>
      </w:pPr>
      <w:bookmarkStart w:colFirst="0" w:colLast="0" w:name="_heading=h.i3rjp8wpbu99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lineRule="auto"/>
        <w:ind w:firstLine="17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Que la determinación de los alimentos ha estado históricamente atravesada por criterios subjetivos que no reflejan el costo real de crianza;</w:t>
      </w:r>
    </w:p>
    <w:p w:rsidR="00000000" w:rsidDel="00000000" w:rsidP="00000000" w:rsidRDefault="00000000" w:rsidRPr="00000000" w14:paraId="00000010">
      <w:pPr>
        <w:spacing w:after="240" w:lineRule="auto"/>
        <w:ind w:firstLine="170"/>
        <w:rPr>
          <w:rFonts w:ascii="Calibri" w:cs="Calibri" w:eastAsia="Calibri" w:hAnsi="Calibri"/>
          <w:sz w:val="22"/>
          <w:szCs w:val="22"/>
          <w:vertAlign w:val="baseline"/>
        </w:rPr>
      </w:pPr>
      <w:bookmarkStart w:colFirst="0" w:colLast="0" w:name="_heading=h.2mbltz2g0i9" w:id="6"/>
      <w:bookmarkEnd w:id="6"/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Que la Ley 15.513 incorpora la Canasta de Crianza del INDEC como un parámetro objetivo, basado en evidencia, que permite dimensionar el costo de garantizar derechos;</w:t>
      </w:r>
    </w:p>
    <w:p w:rsidR="00000000" w:rsidDel="00000000" w:rsidP="00000000" w:rsidRDefault="00000000" w:rsidRPr="00000000" w14:paraId="00000011">
      <w:pPr>
        <w:spacing w:after="240" w:lineRule="auto"/>
        <w:ind w:firstLine="170"/>
        <w:rPr>
          <w:rFonts w:ascii="Calibri" w:cs="Calibri" w:eastAsia="Calibri" w:hAnsi="Calibri"/>
          <w:sz w:val="22"/>
          <w:szCs w:val="22"/>
          <w:vertAlign w:val="baseline"/>
        </w:rPr>
      </w:pPr>
      <w:bookmarkStart w:colFirst="0" w:colLast="0" w:name="_heading=h.7m8vd42v4r4b" w:id="7"/>
      <w:bookmarkEnd w:id="7"/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Que la crianza implica no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sólo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gastos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económicos directos sino también el tiempo de cuidado, el cual recae de manera desproporcionada en las mujeres, configurando una dimensión de la desigualdad estructural de género;</w:t>
      </w:r>
    </w:p>
    <w:p w:rsidR="00000000" w:rsidDel="00000000" w:rsidP="00000000" w:rsidRDefault="00000000" w:rsidRPr="00000000" w14:paraId="00000012">
      <w:pPr>
        <w:spacing w:after="240" w:lineRule="auto"/>
        <w:ind w:firstLine="170"/>
        <w:rPr>
          <w:rFonts w:ascii="Calibri" w:cs="Calibri" w:eastAsia="Calibri" w:hAnsi="Calibri"/>
          <w:sz w:val="22"/>
          <w:szCs w:val="22"/>
          <w:vertAlign w:val="baseline"/>
        </w:rPr>
      </w:pPr>
      <w:bookmarkStart w:colFirst="0" w:colLast="0" w:name="_heading=h.1mfjmt8uu448" w:id="8"/>
      <w:bookmarkEnd w:id="8"/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Que el incumplimiento de la cuota alimentaria constituye una forma de violencia económica, en los términos de la Ley 26.485;</w:t>
      </w:r>
    </w:p>
    <w:p w:rsidR="00000000" w:rsidDel="00000000" w:rsidP="00000000" w:rsidRDefault="00000000" w:rsidRPr="00000000" w14:paraId="00000013">
      <w:pPr>
        <w:spacing w:after="240" w:lineRule="auto"/>
        <w:ind w:firstLine="170"/>
        <w:rPr>
          <w:rFonts w:ascii="Calibri" w:cs="Calibri" w:eastAsia="Calibri" w:hAnsi="Calibri"/>
          <w:sz w:val="22"/>
          <w:szCs w:val="22"/>
          <w:vertAlign w:val="baseline"/>
        </w:rPr>
      </w:pPr>
      <w:bookmarkStart w:colFirst="0" w:colLast="0" w:name="_heading=h.ul031kaybja5" w:id="9"/>
      <w:bookmarkEnd w:id="9"/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Que, si bien la fijación de la cuota alimentaria es competencia del Poder Judicial, los municipios tienen un rol central en el acceso a derechos, la orientación a la comunidad y la intervención en instancias de mediación y acompañamiento;</w:t>
      </w:r>
    </w:p>
    <w:p w:rsidR="00000000" w:rsidDel="00000000" w:rsidP="00000000" w:rsidRDefault="00000000" w:rsidRPr="00000000" w14:paraId="00000014">
      <w:pPr>
        <w:spacing w:after="240" w:lineRule="auto"/>
        <w:ind w:firstLine="170"/>
        <w:rPr>
          <w:rFonts w:ascii="Calibri" w:cs="Calibri" w:eastAsia="Calibri" w:hAnsi="Calibri"/>
          <w:sz w:val="22"/>
          <w:szCs w:val="22"/>
          <w:vertAlign w:val="baseline"/>
        </w:rPr>
      </w:pPr>
      <w:bookmarkStart w:colFirst="0" w:colLast="0" w:name="_heading=h.tsywmddy6frr" w:id="10"/>
      <w:bookmarkEnd w:id="10"/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Que resulta necesario promover herramientas claras, accesibles y objetivas para orientar a la ciudadanía y a los equipos técnicos en materia alimentaria;</w:t>
      </w:r>
    </w:p>
    <w:p w:rsidR="00000000" w:rsidDel="00000000" w:rsidP="00000000" w:rsidRDefault="00000000" w:rsidRPr="00000000" w14:paraId="00000015">
      <w:pPr>
        <w:spacing w:after="240" w:lineRule="auto"/>
        <w:ind w:firstLine="170"/>
        <w:rPr>
          <w:rFonts w:ascii="Calibri" w:cs="Calibri" w:eastAsia="Calibri" w:hAnsi="Calibri"/>
          <w:sz w:val="22"/>
          <w:szCs w:val="22"/>
          <w:vertAlign w:val="baseline"/>
        </w:rPr>
      </w:pPr>
      <w:bookmarkStart w:colFirst="0" w:colLast="0" w:name="_heading=h.6050dshp9r8b" w:id="11"/>
      <w:bookmarkEnd w:id="11"/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Que el Estado local debe contribuir a la difusión de derechos y al fortalecimiento de políticas públicas con perspectiva de género y de cuidados;</w:t>
      </w:r>
    </w:p>
    <w:p w:rsidR="00000000" w:rsidDel="00000000" w:rsidP="00000000" w:rsidRDefault="00000000" w:rsidRPr="00000000" w14:paraId="00000016">
      <w:pPr>
        <w:spacing w:after="240" w:lineRule="auto"/>
        <w:ind w:firstLine="170"/>
        <w:rPr>
          <w:rFonts w:ascii="Calibri" w:cs="Calibri" w:eastAsia="Calibri" w:hAnsi="Calibri"/>
          <w:sz w:val="22"/>
          <w:szCs w:val="22"/>
          <w:vertAlign w:val="baseline"/>
        </w:rPr>
      </w:pPr>
      <w:bookmarkStart w:colFirst="0" w:colLast="0" w:name="_heading=h.jf3t6tfgkzpn" w:id="12"/>
      <w:bookmarkEnd w:id="12"/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Por ello, el Bloque FP/PJ propone para su tratamiento el siguiente:</w:t>
      </w:r>
    </w:p>
    <w:p w:rsidR="00000000" w:rsidDel="00000000" w:rsidP="00000000" w:rsidRDefault="00000000" w:rsidRPr="00000000" w14:paraId="00000017">
      <w:pPr>
        <w:ind w:firstLine="170"/>
        <w:rPr>
          <w:rFonts w:ascii="Calibri" w:cs="Calibri" w:eastAsia="Calibri" w:hAnsi="Calibri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170"/>
        <w:rPr>
          <w:rFonts w:ascii="Calibri" w:cs="Calibri" w:eastAsia="Calibri" w:hAnsi="Calibri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170"/>
        <w:rPr>
          <w:rFonts w:ascii="Calibri" w:cs="Calibri" w:eastAsia="Calibri" w:hAnsi="Calibri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firstLine="170"/>
        <w:jc w:val="center"/>
        <w:rPr>
          <w:rFonts w:ascii="Calibri" w:cs="Calibri" w:eastAsia="Calibri" w:hAnsi="Calibri"/>
          <w:b w:val="0"/>
          <w:bCs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firstLine="170"/>
        <w:jc w:val="center"/>
        <w:rPr>
          <w:rFonts w:ascii="Calibri" w:cs="Calibri" w:eastAsia="Calibri" w:hAnsi="Calibri"/>
          <w:b w:val="0"/>
          <w:bCs w:val="0"/>
          <w:sz w:val="22"/>
          <w:szCs w:val="22"/>
          <w:u w:val="single"/>
          <w:vertAlign w:val="baseline"/>
        </w:rPr>
      </w:pPr>
      <w:bookmarkStart w:colFirst="0" w:colLast="0" w:name="_heading=h.bsyt0sivj0t0" w:id="13"/>
      <w:bookmarkEnd w:id="13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u w:val="single"/>
          <w:vertAlign w:val="baseline"/>
          <w:rtl w:val="0"/>
        </w:rPr>
        <w:t xml:space="preserve">PROYECTO DE ORDENANZA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firstLine="17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firstLine="17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vertAlign w:val="baseline"/>
          <w:rtl w:val="0"/>
        </w:rPr>
        <w:t xml:space="preserve">ARTÍCULO 1°: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Adhiérase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el Municipio de Chascomús a la Ley Provincial N° 15.513, promoviendo la utilización del Índice de Crianza del INDEC como referencia en materia alimentaria.</w:t>
      </w:r>
    </w:p>
    <w:p w:rsidR="00000000" w:rsidDel="00000000" w:rsidP="00000000" w:rsidRDefault="00000000" w:rsidRPr="00000000" w14:paraId="0000001E">
      <w:pPr>
        <w:ind w:firstLine="170"/>
        <w:rPr>
          <w:rFonts w:ascii="Calibri" w:cs="Calibri" w:eastAsia="Calibri" w:hAnsi="Calibri"/>
          <w:sz w:val="22"/>
          <w:szCs w:val="22"/>
          <w:vertAlign w:val="baseline"/>
        </w:rPr>
      </w:pPr>
      <w:bookmarkStart w:colFirst="0" w:colLast="0" w:name="_heading=h.28qkfqrih246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firstLine="170"/>
        <w:rPr>
          <w:rFonts w:ascii="Calibri" w:cs="Calibri" w:eastAsia="Calibri" w:hAnsi="Calibri"/>
          <w:sz w:val="22"/>
          <w:szCs w:val="22"/>
          <w:vertAlign w:val="baseline"/>
        </w:rPr>
      </w:pPr>
      <w:bookmarkStart w:colFirst="0" w:colLast="0" w:name="_heading=h.fyc1xf8hvzw4" w:id="15"/>
      <w:bookmarkEnd w:id="15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vertAlign w:val="baseline"/>
          <w:rtl w:val="0"/>
        </w:rPr>
        <w:t xml:space="preserve">ARTÍCULO 2°: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Establézcase la incorporación del Índice de Crianza como parámetro orientador en las intervenciones realizadas por las áreas municipales competentes, en particular: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53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Servicios Locales de Promoción y Protección de Derechos de Niñas, Niños y Adolescentes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530" w:hanging="360"/>
        <w:rPr>
          <w:rFonts w:ascii="Calibri" w:cs="Calibri" w:eastAsia="Calibri" w:hAnsi="Calibri"/>
          <w:sz w:val="22"/>
          <w:szCs w:val="22"/>
          <w:vertAlign w:val="baseline"/>
        </w:rPr>
      </w:pPr>
      <w:bookmarkStart w:colFirst="0" w:colLast="0" w:name="_heading=h.ggfc4x3dcdff" w:id="16"/>
      <w:bookmarkEnd w:id="16"/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Áreas de género y diversidad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530" w:hanging="360"/>
        <w:rPr>
          <w:rFonts w:ascii="Calibri" w:cs="Calibri" w:eastAsia="Calibri" w:hAnsi="Calibri"/>
          <w:sz w:val="22"/>
          <w:szCs w:val="22"/>
          <w:vertAlign w:val="baseline"/>
        </w:rPr>
      </w:pPr>
      <w:bookmarkStart w:colFirst="0" w:colLast="0" w:name="_heading=h.1qt6zwdyjzu4" w:id="17"/>
      <w:bookmarkEnd w:id="17"/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Equipos interdisciplinarios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530" w:hanging="360"/>
        <w:rPr>
          <w:rFonts w:ascii="Calibri" w:cs="Calibri" w:eastAsia="Calibri" w:hAnsi="Calibri"/>
          <w:sz w:val="22"/>
          <w:szCs w:val="22"/>
          <w:vertAlign w:val="baseline"/>
        </w:rPr>
      </w:pPr>
      <w:bookmarkStart w:colFirst="0" w:colLast="0" w:name="_heading=h.8ro7iue2kfuc" w:id="18"/>
      <w:bookmarkEnd w:id="18"/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Espacios de mediación comunitaria o familiar</w:t>
      </w:r>
    </w:p>
    <w:p w:rsidR="00000000" w:rsidDel="00000000" w:rsidP="00000000" w:rsidRDefault="00000000" w:rsidRPr="00000000" w14:paraId="00000024">
      <w:pPr>
        <w:ind w:left="530" w:firstLine="0"/>
        <w:rPr>
          <w:rFonts w:ascii="Calibri" w:cs="Calibri" w:eastAsia="Calibri" w:hAnsi="Calibri"/>
          <w:sz w:val="22"/>
          <w:szCs w:val="22"/>
          <w:vertAlign w:val="baseline"/>
        </w:rPr>
      </w:pPr>
      <w:bookmarkStart w:colFirst="0" w:colLast="0" w:name="_heading=h.xr9pvskkv5ib" w:id="19"/>
      <w:bookmarkEnd w:id="1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firstLine="170"/>
        <w:rPr>
          <w:rFonts w:ascii="Calibri" w:cs="Calibri" w:eastAsia="Calibri" w:hAnsi="Calibri"/>
          <w:sz w:val="22"/>
          <w:szCs w:val="22"/>
          <w:vertAlign w:val="baseline"/>
        </w:rPr>
      </w:pPr>
      <w:bookmarkStart w:colFirst="0" w:colLast="0" w:name="_heading=h.w3lfw3m73nrf" w:id="20"/>
      <w:bookmarkEnd w:id="20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vertAlign w:val="baseline"/>
          <w:rtl w:val="0"/>
        </w:rPr>
        <w:t xml:space="preserve">ARTÍCULO 3°: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Dispóngase la capacitación de los equipos técnicos municipales en: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ind w:left="53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Uso e interpretación del Índice de Crianza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ind w:left="530" w:hanging="360"/>
        <w:rPr>
          <w:rFonts w:ascii="Calibri" w:cs="Calibri" w:eastAsia="Calibri" w:hAnsi="Calibri"/>
          <w:sz w:val="22"/>
          <w:szCs w:val="22"/>
          <w:vertAlign w:val="baseline"/>
        </w:rPr>
      </w:pPr>
      <w:bookmarkStart w:colFirst="0" w:colLast="0" w:name="_heading=h.3qvgi52g91zs" w:id="21"/>
      <w:bookmarkEnd w:id="21"/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Perspectiva de género y economía del cuidado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ind w:left="530" w:hanging="360"/>
        <w:rPr>
          <w:rFonts w:ascii="Calibri" w:cs="Calibri" w:eastAsia="Calibri" w:hAnsi="Calibri"/>
          <w:sz w:val="22"/>
          <w:szCs w:val="22"/>
          <w:vertAlign w:val="baseline"/>
        </w:rPr>
      </w:pPr>
      <w:bookmarkStart w:colFirst="0" w:colLast="0" w:name="_heading=h.9e5mg4w1eq13" w:id="22"/>
      <w:bookmarkEnd w:id="22"/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Derechos de niñas, niños y adolescentes en materia alimentaria</w:t>
      </w:r>
    </w:p>
    <w:p w:rsidR="00000000" w:rsidDel="00000000" w:rsidP="00000000" w:rsidRDefault="00000000" w:rsidRPr="00000000" w14:paraId="00000029">
      <w:pPr>
        <w:ind w:left="530" w:firstLine="0"/>
        <w:rPr>
          <w:rFonts w:ascii="Calibri" w:cs="Calibri" w:eastAsia="Calibri" w:hAnsi="Calibri"/>
          <w:sz w:val="22"/>
          <w:szCs w:val="22"/>
          <w:vertAlign w:val="baseline"/>
        </w:rPr>
      </w:pPr>
      <w:bookmarkStart w:colFirst="0" w:colLast="0" w:name="_heading=h.wtdzbn1nxk78" w:id="23"/>
      <w:bookmarkEnd w:id="2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firstLine="170"/>
        <w:rPr>
          <w:rFonts w:ascii="Calibri" w:cs="Calibri" w:eastAsia="Calibri" w:hAnsi="Calibri"/>
          <w:sz w:val="22"/>
          <w:szCs w:val="22"/>
          <w:vertAlign w:val="baseline"/>
        </w:rPr>
      </w:pPr>
      <w:bookmarkStart w:colFirst="0" w:colLast="0" w:name="_heading=h.6mdcwnp7046" w:id="24"/>
      <w:bookmarkEnd w:id="24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vertAlign w:val="baseline"/>
          <w:rtl w:val="0"/>
        </w:rPr>
        <w:t xml:space="preserve">ARTÍCULO 4°: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Instrúyase al Departamento Ejecutivo a desarrollar campañas de difusión dirigidas a la comunidad sobre: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ind w:left="53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El derecho a la cuota alimentaria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ind w:left="530" w:hanging="360"/>
        <w:rPr>
          <w:rFonts w:ascii="Calibri" w:cs="Calibri" w:eastAsia="Calibri" w:hAnsi="Calibri"/>
          <w:sz w:val="22"/>
          <w:szCs w:val="22"/>
          <w:vertAlign w:val="baseline"/>
        </w:rPr>
      </w:pPr>
      <w:bookmarkStart w:colFirst="0" w:colLast="0" w:name="_heading=h.snqqp3qxkvt7" w:id="25"/>
      <w:bookmarkEnd w:id="25"/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El uso del Índice de Crianza como parámetro objetivo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ind w:left="530" w:hanging="360"/>
        <w:rPr>
          <w:rFonts w:ascii="Calibri" w:cs="Calibri" w:eastAsia="Calibri" w:hAnsi="Calibri"/>
          <w:sz w:val="22"/>
          <w:szCs w:val="22"/>
          <w:vertAlign w:val="baseline"/>
        </w:rPr>
      </w:pPr>
      <w:bookmarkStart w:colFirst="0" w:colLast="0" w:name="_heading=h.hqz8kim6vad5" w:id="26"/>
      <w:bookmarkEnd w:id="26"/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Las vías de acceso a la justicia y acompañamiento institucional</w:t>
      </w:r>
    </w:p>
    <w:p w:rsidR="00000000" w:rsidDel="00000000" w:rsidP="00000000" w:rsidRDefault="00000000" w:rsidRPr="00000000" w14:paraId="0000002E">
      <w:pPr>
        <w:ind w:left="530" w:firstLine="0"/>
        <w:rPr>
          <w:rFonts w:ascii="Calibri" w:cs="Calibri" w:eastAsia="Calibri" w:hAnsi="Calibri"/>
          <w:sz w:val="22"/>
          <w:szCs w:val="22"/>
          <w:vertAlign w:val="baseline"/>
        </w:rPr>
      </w:pPr>
      <w:bookmarkStart w:colFirst="0" w:colLast="0" w:name="_heading=h.9egfzmtkxe4i" w:id="27"/>
      <w:bookmarkEnd w:id="2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firstLine="17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vertAlign w:val="baseline"/>
          <w:rtl w:val="0"/>
        </w:rPr>
        <w:t xml:space="preserve">ARTÍCULO 5°: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Promuévase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la articulación con organismos judiciales y provinciales a fin de fortalecer el acceso a derechos en materia alimentaria.</w:t>
      </w:r>
    </w:p>
    <w:p w:rsidR="00000000" w:rsidDel="00000000" w:rsidP="00000000" w:rsidRDefault="00000000" w:rsidRPr="00000000" w14:paraId="00000030">
      <w:pPr>
        <w:ind w:firstLine="170"/>
        <w:rPr>
          <w:rFonts w:ascii="Calibri" w:cs="Calibri" w:eastAsia="Calibri" w:hAnsi="Calibri"/>
          <w:sz w:val="22"/>
          <w:szCs w:val="22"/>
          <w:vertAlign w:val="baseline"/>
        </w:rPr>
      </w:pPr>
      <w:bookmarkStart w:colFirst="0" w:colLast="0" w:name="_heading=h.x1p4kh2ofrke" w:id="28"/>
      <w:bookmarkEnd w:id="2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firstLine="17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vertAlign w:val="baseline"/>
          <w:rtl w:val="0"/>
        </w:rPr>
        <w:t xml:space="preserve">ARTÍCULO 6°: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La presente ordenanza tiene carácter orientador y no sustituye las competencias propias del Poder Judicial en la determinación de la cuota alimentaria.</w:t>
      </w:r>
    </w:p>
    <w:p w:rsidR="00000000" w:rsidDel="00000000" w:rsidP="00000000" w:rsidRDefault="00000000" w:rsidRPr="00000000" w14:paraId="00000032">
      <w:pPr>
        <w:ind w:firstLine="170"/>
        <w:rPr>
          <w:rFonts w:ascii="Calibri" w:cs="Calibri" w:eastAsia="Calibri" w:hAnsi="Calibri"/>
          <w:sz w:val="22"/>
          <w:szCs w:val="22"/>
          <w:vertAlign w:val="baseline"/>
        </w:rPr>
      </w:pPr>
      <w:bookmarkStart w:colFirst="0" w:colLast="0" w:name="_heading=h.1ps9otc4eeup" w:id="29"/>
      <w:bookmarkEnd w:id="2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firstLine="17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vertAlign w:val="baseline"/>
          <w:rtl w:val="0"/>
        </w:rPr>
        <w:t xml:space="preserve">ARTÍCULO 7°: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Remítase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copia de la presente al ju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zgado de paz de Chascomús y al Colegio de abogados Dolores- espacio institucional Chascomús ( asociación de abogados en Chascomús)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firstLine="17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0" w:firstLine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ARTÍCULO 8°: 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De forma</w:t>
      </w:r>
    </w:p>
    <w:p w:rsidR="00000000" w:rsidDel="00000000" w:rsidP="00000000" w:rsidRDefault="00000000" w:rsidRPr="00000000" w14:paraId="00000036">
      <w:pPr>
        <w:ind w:firstLine="17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pgSz w:h="16839" w:w="11907" w:orient="portrait"/>
      <w:pgMar w:bottom="1417" w:top="1417" w:left="1701" w:right="1701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Cambr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Gentium Basic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ind w:firstLine="170"/>
      <w:jc w:val="center"/>
      <w:rPr>
        <w:rFonts w:ascii="Gentium Basic" w:cs="Gentium Basic" w:eastAsia="Gentium Basic" w:hAnsi="Gentium Basic"/>
        <w:color w:val="000000"/>
        <w:vertAlign w:val="baseline"/>
      </w:rPr>
    </w:pPr>
    <w:r w:rsidDel="00000000" w:rsidR="00000000" w:rsidRPr="00000000">
      <w:rPr>
        <w:rFonts w:ascii="Gentium Basic" w:cs="Gentium Basic" w:eastAsia="Gentium Basic" w:hAnsi="Gentium Basic"/>
        <w:color w:val="000000"/>
        <w:vertAlign w:val="baseline"/>
      </w:rPr>
      <w:drawing>
        <wp:inline distB="0" distT="0" distL="114300" distR="114300">
          <wp:extent cx="699770" cy="600710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9770" cy="60071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keepNext w:val="1"/>
      <w:ind w:firstLine="170"/>
      <w:jc w:val="center"/>
      <w:rPr>
        <w:b w:val="0"/>
        <w:bCs w:val="0"/>
        <w:color w:val="000000"/>
        <w:sz w:val="22"/>
        <w:szCs w:val="22"/>
        <w:vertAlign w:val="baseline"/>
      </w:rPr>
    </w:pPr>
    <w:r w:rsidDel="00000000" w:rsidR="00000000" w:rsidRPr="00000000">
      <w:rPr>
        <w:b w:val="1"/>
        <w:bCs w:val="1"/>
        <w:color w:val="000000"/>
        <w:sz w:val="22"/>
        <w:szCs w:val="22"/>
        <w:vertAlign w:val="baseline"/>
        <w:rtl w:val="0"/>
      </w:rPr>
      <w:t xml:space="preserve">Honorable Concejo Deliberante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ind w:firstLine="170"/>
      <w:jc w:val="center"/>
      <w:rPr>
        <w:b w:val="0"/>
        <w:bCs w:val="0"/>
        <w:color w:val="000000"/>
        <w:sz w:val="22"/>
        <w:szCs w:val="22"/>
        <w:vertAlign w:val="baseline"/>
      </w:rPr>
    </w:pPr>
    <w:r w:rsidDel="00000000" w:rsidR="00000000" w:rsidRPr="00000000">
      <w:rPr>
        <w:b w:val="1"/>
        <w:bCs w:val="1"/>
        <w:color w:val="000000"/>
        <w:sz w:val="22"/>
        <w:szCs w:val="22"/>
        <w:vertAlign w:val="baseline"/>
        <w:rtl w:val="0"/>
      </w:rPr>
      <w:t xml:space="preserve">Belgrano 17    -    Chascomús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ind w:firstLine="170"/>
      <w:jc w:val="center"/>
      <w:rPr>
        <w:b w:val="0"/>
        <w:bCs w:val="0"/>
        <w:color w:val="000000"/>
        <w:sz w:val="22"/>
        <w:szCs w:val="22"/>
        <w:vertAlign w:val="baseline"/>
      </w:rPr>
    </w:pPr>
    <w:r w:rsidDel="00000000" w:rsidR="00000000" w:rsidRPr="00000000">
      <w:rPr>
        <w:b w:val="1"/>
        <w:bCs w:val="1"/>
        <w:color w:val="000000"/>
        <w:sz w:val="22"/>
        <w:szCs w:val="22"/>
        <w:vertAlign w:val="baseline"/>
        <w:rtl w:val="0"/>
      </w:rPr>
      <w:t xml:space="preserve">Fuerza Patria – PJ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ind w:firstLine="170"/>
      <w:jc w:val="center"/>
      <w:rPr>
        <w:b w:val="0"/>
        <w:bCs w:val="0"/>
        <w:sz w:val="24"/>
        <w:szCs w:val="24"/>
        <w:vertAlign w:val="baseline"/>
      </w:rPr>
    </w:pPr>
    <w:r w:rsidDel="00000000" w:rsidR="00000000" w:rsidRPr="00000000">
      <w:rPr>
        <w:b w:val="1"/>
        <w:bCs w:val="1"/>
        <w:color w:val="000000"/>
        <w:sz w:val="22"/>
        <w:szCs w:val="22"/>
        <w:vertAlign w:val="baseline"/>
        <w:rtl w:val="0"/>
      </w:rPr>
      <w:t xml:space="preserve">“</w:t>
    </w:r>
    <w:r w:rsidDel="00000000" w:rsidR="00000000" w:rsidRPr="00000000">
      <w:rPr>
        <w:b w:val="1"/>
        <w:bCs w:val="1"/>
        <w:sz w:val="22"/>
        <w:szCs w:val="22"/>
        <w:vertAlign w:val="baseline"/>
        <w:rtl w:val="0"/>
      </w:rPr>
      <w:t xml:space="preserve">2026: Año del 200° Aniversario de la Escuela Primaria N° 1 “Bernardino Rivadavia”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ind w:firstLine="170"/>
      <w:jc w:val="center"/>
      <w:rPr>
        <w:rFonts w:ascii="Cambria" w:cs="Cambria" w:eastAsia="Cambria" w:hAnsi="Cambria"/>
        <w:sz w:val="24"/>
        <w:szCs w:val="24"/>
        <w:vertAlign w:val="baseline"/>
      </w:rPr>
    </w:pPr>
    <w:r w:rsidDel="00000000" w:rsidR="00000000" w:rsidRPr="00000000">
      <w:rPr>
        <w:b w:val="1"/>
        <w:bCs w:val="1"/>
        <w:color w:val="000000"/>
        <w:sz w:val="22"/>
        <w:szCs w:val="22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17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17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17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17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ind w:firstLine="170"/>
      <w:jc w:val="center"/>
      <w:rPr>
        <w:rFonts w:ascii="Gentium Basic" w:cs="Gentium Basic" w:eastAsia="Gentium Basic" w:hAnsi="Gentium Basic"/>
        <w:color w:val="000000"/>
        <w:vertAlign w:val="baseline"/>
      </w:rPr>
    </w:pPr>
    <w:r w:rsidDel="00000000" w:rsidR="00000000" w:rsidRPr="00000000">
      <w:rPr>
        <w:rFonts w:ascii="Gentium Basic" w:cs="Gentium Basic" w:eastAsia="Gentium Basic" w:hAnsi="Gentium Basic"/>
        <w:color w:val="000000"/>
        <w:vertAlign w:val="baseline"/>
      </w:rPr>
      <w:drawing>
        <wp:inline distB="0" distT="0" distL="114300" distR="114300">
          <wp:extent cx="699770" cy="600710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9770" cy="60071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keepNext w:val="1"/>
      <w:ind w:firstLine="170"/>
      <w:jc w:val="center"/>
      <w:rPr>
        <w:b w:val="0"/>
        <w:bCs w:val="0"/>
        <w:color w:val="000000"/>
        <w:sz w:val="22"/>
        <w:szCs w:val="22"/>
        <w:vertAlign w:val="baseline"/>
      </w:rPr>
    </w:pPr>
    <w:r w:rsidDel="00000000" w:rsidR="00000000" w:rsidRPr="00000000">
      <w:rPr>
        <w:b w:val="1"/>
        <w:bCs w:val="1"/>
        <w:color w:val="000000"/>
        <w:sz w:val="22"/>
        <w:szCs w:val="22"/>
        <w:vertAlign w:val="baseline"/>
        <w:rtl w:val="0"/>
      </w:rPr>
      <w:t xml:space="preserve">Honorable Concejo Deliberante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ind w:firstLine="170"/>
      <w:jc w:val="center"/>
      <w:rPr>
        <w:b w:val="0"/>
        <w:bCs w:val="0"/>
        <w:color w:val="000000"/>
        <w:sz w:val="22"/>
        <w:szCs w:val="22"/>
        <w:vertAlign w:val="baseline"/>
      </w:rPr>
    </w:pPr>
    <w:r w:rsidDel="00000000" w:rsidR="00000000" w:rsidRPr="00000000">
      <w:rPr>
        <w:b w:val="1"/>
        <w:bCs w:val="1"/>
        <w:color w:val="000000"/>
        <w:sz w:val="22"/>
        <w:szCs w:val="22"/>
        <w:vertAlign w:val="baseline"/>
        <w:rtl w:val="0"/>
      </w:rPr>
      <w:t xml:space="preserve">Sarmiento 56    -    Chascomús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ind w:firstLine="170"/>
      <w:jc w:val="center"/>
      <w:rPr>
        <w:rFonts w:ascii="Cambria" w:cs="Cambria" w:eastAsia="Cambria" w:hAnsi="Cambria"/>
        <w:sz w:val="24"/>
        <w:szCs w:val="24"/>
        <w:vertAlign w:val="baseline"/>
      </w:rPr>
    </w:pPr>
    <w:r w:rsidDel="00000000" w:rsidR="00000000" w:rsidRPr="00000000">
      <w:rPr>
        <w:b w:val="1"/>
        <w:bCs w:val="1"/>
        <w:color w:val="000000"/>
        <w:sz w:val="22"/>
        <w:szCs w:val="22"/>
        <w:vertAlign w:val="baseline"/>
        <w:rtl w:val="0"/>
      </w:rPr>
      <w:t xml:space="preserve">“2023: Año del 40° Aniversario de la recuperación de la Democracia”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tabs>
        <w:tab w:val="left" w:leader="none" w:pos="4200"/>
        <w:tab w:val="center" w:leader="none" w:pos="4408"/>
      </w:tabs>
      <w:ind w:firstLine="170"/>
      <w:rPr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53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25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97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69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41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13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85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57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29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53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25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97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69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41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13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85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57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29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53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25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97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69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41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13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85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57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29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s-AR"/>
      </w:rPr>
    </w:rPrDefault>
    <w:pPrDefault>
      <w:pPr>
        <w:ind w:left="17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ohoWbR6GiCsmSxmcdTnGARymDw==">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