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0000001" w14:textId="77777777" w:rsidR="00DD7AFB" w:rsidRDefault="006A366E">
      <w:pPr>
        <w:spacing w:before="240" w:after="240" w:line="360" w:lineRule="auto"/>
        <w:jc w:val="right"/>
        <w:rPr>
          <w:sz w:val="24"/>
          <w:szCs w:val="24"/>
        </w:rPr>
      </w:pPr>
      <w:bookmarkStart w:id="0" w:name="_GoBack"/>
      <w:bookmarkEnd w:id="0"/>
      <w:r>
        <w:rPr>
          <w:sz w:val="24"/>
          <w:szCs w:val="24"/>
        </w:rPr>
        <w:t>Chascomús, 12 de mayo de 2026.</w:t>
      </w:r>
    </w:p>
    <w:p w14:paraId="00000002" w14:textId="77777777" w:rsidR="00DD7AFB" w:rsidRDefault="006A366E" w:rsidP="00DA3882">
      <w:pPr>
        <w:spacing w:before="240" w:after="240" w:line="360" w:lineRule="auto"/>
        <w:rPr>
          <w:sz w:val="24"/>
          <w:szCs w:val="24"/>
        </w:rPr>
      </w:pPr>
      <w:r>
        <w:rPr>
          <w:sz w:val="24"/>
          <w:szCs w:val="24"/>
        </w:rPr>
        <w:t>Sr. Presidente del</w:t>
      </w:r>
      <w:r>
        <w:rPr>
          <w:sz w:val="24"/>
          <w:szCs w:val="24"/>
        </w:rPr>
        <w:br/>
        <w:t>Honorable Concejo Deliberante</w:t>
      </w:r>
      <w:r>
        <w:rPr>
          <w:sz w:val="24"/>
          <w:szCs w:val="24"/>
        </w:rPr>
        <w:br/>
        <w:t>Oscar Freddy Toledo</w:t>
      </w:r>
      <w:r>
        <w:rPr>
          <w:sz w:val="24"/>
          <w:szCs w:val="24"/>
        </w:rPr>
        <w:br/>
        <w:t>S / D</w:t>
      </w:r>
    </w:p>
    <w:p w14:paraId="00000003" w14:textId="77777777" w:rsidR="00DD7AFB" w:rsidRDefault="006A366E">
      <w:pPr>
        <w:spacing w:before="240" w:after="240" w:line="360" w:lineRule="auto"/>
        <w:jc w:val="both"/>
        <w:rPr>
          <w:sz w:val="24"/>
          <w:szCs w:val="24"/>
        </w:rPr>
      </w:pPr>
      <w:r>
        <w:rPr>
          <w:sz w:val="24"/>
          <w:szCs w:val="24"/>
        </w:rPr>
        <w:t>De nuestra consideración:</w:t>
      </w:r>
    </w:p>
    <w:p w14:paraId="00000004" w14:textId="77777777" w:rsidR="00DD7AFB" w:rsidRDefault="006A366E">
      <w:pPr>
        <w:spacing w:before="240" w:after="240" w:line="360" w:lineRule="auto"/>
        <w:jc w:val="both"/>
        <w:rPr>
          <w:b/>
          <w:bCs/>
          <w:sz w:val="24"/>
          <w:szCs w:val="24"/>
        </w:rPr>
      </w:pPr>
      <w:r>
        <w:rPr>
          <w:sz w:val="24"/>
          <w:szCs w:val="24"/>
        </w:rPr>
        <w:t>Remitimos copia del presente proyecto para ser incluido en el Orden del Día de la próxima sesión.</w:t>
      </w:r>
    </w:p>
    <w:p w14:paraId="00000005" w14:textId="2D1550BB" w:rsidR="00DD7AFB" w:rsidRDefault="00A82529">
      <w:pPr>
        <w:pStyle w:val="Ttulo1"/>
        <w:keepNext w:val="0"/>
        <w:keepLines w:val="0"/>
        <w:spacing w:before="480"/>
        <w:jc w:val="both"/>
        <w:rPr>
          <w:b/>
          <w:bCs/>
          <w:sz w:val="24"/>
          <w:szCs w:val="24"/>
        </w:rPr>
      </w:pPr>
      <w:bookmarkStart w:id="1" w:name="_i1faxndt5mz0" w:colFirst="0" w:colLast="0"/>
      <w:bookmarkEnd w:id="1"/>
      <w:r>
        <w:rPr>
          <w:b/>
          <w:bCs/>
          <w:sz w:val="24"/>
          <w:szCs w:val="24"/>
        </w:rPr>
        <w:t>Implementando cartelería indicativa de denuncia digital de delitos penales e irregularidades policiales</w:t>
      </w:r>
    </w:p>
    <w:p w14:paraId="00000006" w14:textId="77777777" w:rsidR="00DD7AFB" w:rsidRDefault="006A366E">
      <w:pPr>
        <w:pStyle w:val="Ttulo2"/>
        <w:keepNext w:val="0"/>
        <w:keepLines w:val="0"/>
        <w:spacing w:after="80"/>
        <w:jc w:val="both"/>
        <w:rPr>
          <w:b/>
          <w:bCs/>
          <w:sz w:val="24"/>
          <w:szCs w:val="24"/>
        </w:rPr>
      </w:pPr>
      <w:bookmarkStart w:id="2" w:name="_76pnqm6501zp" w:colFirst="0" w:colLast="0"/>
      <w:bookmarkEnd w:id="2"/>
      <w:r>
        <w:rPr>
          <w:b/>
          <w:bCs/>
          <w:sz w:val="24"/>
          <w:szCs w:val="24"/>
        </w:rPr>
        <w:t>VISTO</w:t>
      </w:r>
    </w:p>
    <w:p w14:paraId="00000007" w14:textId="77777777" w:rsidR="00DD7AFB" w:rsidRDefault="006A366E">
      <w:pPr>
        <w:spacing w:before="240" w:after="240"/>
        <w:jc w:val="both"/>
        <w:rPr>
          <w:sz w:val="24"/>
          <w:szCs w:val="24"/>
        </w:rPr>
      </w:pPr>
      <w:r>
        <w:rPr>
          <w:sz w:val="24"/>
          <w:szCs w:val="24"/>
        </w:rPr>
        <w:t>La necesidad de fortalecer el acceso de los vecinos a los canales oficiales de denuncia penal y de denuncia administrativa ante posibles irregularidades cometidas por funcionarios policiales; y</w:t>
      </w:r>
    </w:p>
    <w:p w14:paraId="00000008" w14:textId="77777777" w:rsidR="00DD7AFB" w:rsidRDefault="006A366E">
      <w:pPr>
        <w:pStyle w:val="Ttulo2"/>
        <w:keepNext w:val="0"/>
        <w:keepLines w:val="0"/>
        <w:spacing w:after="80"/>
        <w:jc w:val="both"/>
        <w:rPr>
          <w:b/>
          <w:bCs/>
          <w:sz w:val="24"/>
          <w:szCs w:val="24"/>
        </w:rPr>
      </w:pPr>
      <w:bookmarkStart w:id="3" w:name="_3ne3b9q3gbon" w:colFirst="0" w:colLast="0"/>
      <w:bookmarkEnd w:id="3"/>
      <w:r>
        <w:rPr>
          <w:b/>
          <w:bCs/>
          <w:sz w:val="24"/>
          <w:szCs w:val="24"/>
        </w:rPr>
        <w:t>CONSIDERANDO</w:t>
      </w:r>
    </w:p>
    <w:p w14:paraId="00000009" w14:textId="77777777" w:rsidR="00DD7AFB" w:rsidRDefault="006A366E">
      <w:pPr>
        <w:spacing w:before="240" w:after="240"/>
        <w:jc w:val="both"/>
        <w:rPr>
          <w:sz w:val="24"/>
          <w:szCs w:val="24"/>
        </w:rPr>
      </w:pPr>
      <w:r>
        <w:rPr>
          <w:sz w:val="24"/>
          <w:szCs w:val="24"/>
        </w:rPr>
        <w:t>Que la denuncia de hechos ilícitos constituye una herramienta fundamental para el acceso a la justicia, la prevención del delito y el adecuado funcionamiento del sistema de seguridad pública;</w:t>
      </w:r>
    </w:p>
    <w:p w14:paraId="0000000A" w14:textId="77777777" w:rsidR="00DD7AFB" w:rsidRDefault="006A366E">
      <w:pPr>
        <w:spacing w:before="240" w:after="240"/>
        <w:jc w:val="both"/>
        <w:rPr>
          <w:sz w:val="24"/>
          <w:szCs w:val="24"/>
        </w:rPr>
      </w:pPr>
      <w:r>
        <w:rPr>
          <w:sz w:val="24"/>
          <w:szCs w:val="24"/>
        </w:rPr>
        <w:t>Que el artículo 14 de la Constitución Nacional reconoce el derecho de peticionar a las autoridades, mientras que los artículos 8 y 25 de la Convención Americana sobre Derechos Humanos garantizan el acceso a la justicia y la tutela judicial efectiva;</w:t>
      </w:r>
    </w:p>
    <w:p w14:paraId="0000000B" w14:textId="77777777" w:rsidR="00DD7AFB" w:rsidRDefault="006A366E">
      <w:pPr>
        <w:spacing w:before="240" w:after="240"/>
        <w:jc w:val="both"/>
        <w:rPr>
          <w:sz w:val="24"/>
          <w:szCs w:val="24"/>
        </w:rPr>
      </w:pPr>
      <w:r>
        <w:rPr>
          <w:sz w:val="24"/>
          <w:szCs w:val="24"/>
        </w:rPr>
        <w:t>Que la Constitución de la Provincia de Buenos Aires, en sus artículos 12 inciso 4 y 15, reconoce el derecho de toda persona a peticionar ante las autoridades y a obtener tutela judicial continua y efectiva;</w:t>
      </w:r>
    </w:p>
    <w:p w14:paraId="0000000C" w14:textId="77777777" w:rsidR="00DD7AFB" w:rsidRDefault="006A366E">
      <w:pPr>
        <w:spacing w:before="240" w:after="240"/>
        <w:jc w:val="both"/>
        <w:rPr>
          <w:sz w:val="24"/>
          <w:szCs w:val="24"/>
        </w:rPr>
      </w:pPr>
      <w:r>
        <w:rPr>
          <w:sz w:val="24"/>
          <w:szCs w:val="24"/>
        </w:rPr>
        <w:t xml:space="preserve">Que numerosos vecinos manifiestan dificultades al momento de concurrir a dependencias policiales a realizar denuncias, ya sea por demoras excesivas, </w:t>
      </w:r>
      <w:r>
        <w:rPr>
          <w:sz w:val="24"/>
          <w:szCs w:val="24"/>
        </w:rPr>
        <w:lastRenderedPageBreak/>
        <w:t>desconocimiento de los canales alternativos existentes o, en algunos casos, por negativas indebidas a recepcionar denuncias;</w:t>
      </w:r>
    </w:p>
    <w:p w14:paraId="0000000D" w14:textId="77777777" w:rsidR="00DD7AFB" w:rsidRDefault="006A366E">
      <w:pPr>
        <w:spacing w:before="240" w:after="240"/>
        <w:jc w:val="both"/>
        <w:rPr>
          <w:sz w:val="24"/>
          <w:szCs w:val="24"/>
        </w:rPr>
      </w:pPr>
      <w:r>
        <w:rPr>
          <w:sz w:val="24"/>
          <w:szCs w:val="24"/>
        </w:rPr>
        <w:t>Que actualmente la Provincia de Buenos Aires cuenta con herramientas digitales oficiales que permiten efectuar denuncias penales de forma online, así como también denunciar irregularidades policiales ante la Auditoría General de Asuntos Internos del Ministerio de Seguridad de la Provincia de Buenos Aires;</w:t>
      </w:r>
    </w:p>
    <w:p w14:paraId="0000000E" w14:textId="77777777" w:rsidR="00DD7AFB" w:rsidRDefault="006A366E">
      <w:pPr>
        <w:spacing w:before="240" w:after="240"/>
        <w:jc w:val="both"/>
        <w:rPr>
          <w:sz w:val="24"/>
          <w:szCs w:val="24"/>
        </w:rPr>
      </w:pPr>
      <w:r>
        <w:rPr>
          <w:sz w:val="24"/>
          <w:szCs w:val="24"/>
        </w:rPr>
        <w:t>Que muchas personas desconocen la existencia de dichos mecanismos, lo que limita en los hechos el ejercicio efectivo de sus derechos;</w:t>
      </w:r>
    </w:p>
    <w:p w14:paraId="0000000F" w14:textId="77777777" w:rsidR="00DD7AFB" w:rsidRDefault="006A366E">
      <w:pPr>
        <w:spacing w:before="240" w:after="240"/>
        <w:jc w:val="both"/>
        <w:rPr>
          <w:sz w:val="24"/>
          <w:szCs w:val="24"/>
        </w:rPr>
      </w:pPr>
      <w:r>
        <w:rPr>
          <w:sz w:val="24"/>
          <w:szCs w:val="24"/>
        </w:rPr>
        <w:t>Que en recorridas realizadas por distintas dependencias policiales del distrito se ha advertido la ausencia de cartelería visible e informativa relativa a los canales oficiales de denuncia penal online y de denuncia de irregularidades policiales;</w:t>
      </w:r>
    </w:p>
    <w:p w14:paraId="00000010" w14:textId="77777777" w:rsidR="00DD7AFB" w:rsidRDefault="006A366E">
      <w:pPr>
        <w:spacing w:before="240" w:after="240"/>
        <w:jc w:val="both"/>
        <w:rPr>
          <w:sz w:val="24"/>
          <w:szCs w:val="24"/>
        </w:rPr>
      </w:pPr>
      <w:r>
        <w:rPr>
          <w:sz w:val="24"/>
          <w:szCs w:val="24"/>
        </w:rPr>
        <w:t>Que asimismo se ha verificado la existencia de cartelería desactualizada que remite a aplicaciones y líneas telefónicas actualmente fuera de funcionamiento, circunstancia que genera desinformación y dificulta el efectivo acceso de los vecinos a las herramientas institucionales vigentes;</w:t>
      </w:r>
    </w:p>
    <w:p w14:paraId="00000011" w14:textId="77777777" w:rsidR="00DD7AFB" w:rsidRDefault="006A366E">
      <w:pPr>
        <w:spacing w:before="240" w:after="240"/>
        <w:jc w:val="both"/>
        <w:rPr>
          <w:sz w:val="24"/>
          <w:szCs w:val="24"/>
        </w:rPr>
      </w:pPr>
      <w:r>
        <w:rPr>
          <w:sz w:val="24"/>
          <w:szCs w:val="24"/>
        </w:rPr>
        <w:t>Que la Ley Provincial N° 13.482 establece principios de actuación policial vinculados al respeto de la legalidad, la transparencia y el adecuado cumplimiento de la función pública;</w:t>
      </w:r>
    </w:p>
    <w:p w14:paraId="00000012" w14:textId="77777777" w:rsidR="00DD7AFB" w:rsidRDefault="006A366E">
      <w:pPr>
        <w:spacing w:before="240" w:after="240"/>
        <w:jc w:val="both"/>
        <w:rPr>
          <w:sz w:val="24"/>
          <w:szCs w:val="24"/>
        </w:rPr>
      </w:pPr>
      <w:r>
        <w:rPr>
          <w:sz w:val="24"/>
          <w:szCs w:val="24"/>
        </w:rPr>
        <w:t>Que la Ley Provincial N° 13.982 (T.O. Decreto 1050/09) y sus modificatorias regulan el funcionamiento del sistema de seguridad pública provincial y establecen mecanismos de control respecto de la actuación de los funcionarios policiales;</w:t>
      </w:r>
    </w:p>
    <w:p w14:paraId="00000013" w14:textId="77777777" w:rsidR="00DD7AFB" w:rsidRDefault="006A366E">
      <w:pPr>
        <w:spacing w:before="240" w:after="240"/>
        <w:jc w:val="both"/>
        <w:rPr>
          <w:sz w:val="24"/>
          <w:szCs w:val="24"/>
        </w:rPr>
      </w:pPr>
      <w:r>
        <w:rPr>
          <w:sz w:val="24"/>
          <w:szCs w:val="24"/>
        </w:rPr>
        <w:t>Que facilitar el acceso a herramientas institucionales de denuncia fortalece la confianza ciudadana en las instituciones democráticas y promueve una mayor participación comunitaria en las políticas de seguridad y prevención del delito;</w:t>
      </w:r>
    </w:p>
    <w:p w14:paraId="00000014" w14:textId="77777777" w:rsidR="00DD7AFB" w:rsidRDefault="006A366E">
      <w:pPr>
        <w:spacing w:before="240" w:after="240"/>
        <w:jc w:val="both"/>
        <w:rPr>
          <w:sz w:val="24"/>
          <w:szCs w:val="24"/>
        </w:rPr>
      </w:pPr>
      <w:r>
        <w:rPr>
          <w:sz w:val="24"/>
          <w:szCs w:val="24"/>
        </w:rPr>
        <w:t>Que la incorporación de cartelería con códigos QR en dependencias policiales constituye una medida simple, económica y de fácil implementación, que puede facilitar el acceso inmediato de los vecinos a los canales oficiales de denuncia;</w:t>
      </w:r>
    </w:p>
    <w:p w14:paraId="00000015" w14:textId="77777777" w:rsidR="00DD7AFB" w:rsidRDefault="006A366E">
      <w:pPr>
        <w:spacing w:before="240" w:after="240"/>
        <w:jc w:val="both"/>
        <w:rPr>
          <w:sz w:val="24"/>
          <w:szCs w:val="24"/>
        </w:rPr>
      </w:pPr>
      <w:r>
        <w:rPr>
          <w:sz w:val="24"/>
          <w:szCs w:val="24"/>
        </w:rPr>
        <w:t>Que el Municipio, como nivel estatal de mayor cercanía con la comunidad, debe impulsar acciones tendientes a mejorar el acceso de los vecinos a herramientas institucionales de protección de derechos;</w:t>
      </w:r>
    </w:p>
    <w:p w14:paraId="00000016" w14:textId="60AFFE12" w:rsidR="00DD7AFB" w:rsidRDefault="006A366E">
      <w:pPr>
        <w:pStyle w:val="Ttulo2"/>
        <w:keepNext w:val="0"/>
        <w:keepLines w:val="0"/>
        <w:spacing w:after="80" w:line="360" w:lineRule="auto"/>
        <w:jc w:val="both"/>
        <w:rPr>
          <w:sz w:val="24"/>
          <w:szCs w:val="24"/>
        </w:rPr>
      </w:pPr>
      <w:bookmarkStart w:id="4" w:name="_18x8nwf30cof" w:colFirst="0" w:colLast="0"/>
      <w:bookmarkEnd w:id="4"/>
      <w:r>
        <w:rPr>
          <w:sz w:val="24"/>
          <w:szCs w:val="24"/>
        </w:rPr>
        <w:lastRenderedPageBreak/>
        <w:t xml:space="preserve">Por ello, los bloques </w:t>
      </w:r>
      <w:r w:rsidR="00A82529">
        <w:rPr>
          <w:sz w:val="24"/>
          <w:szCs w:val="24"/>
        </w:rPr>
        <w:t xml:space="preserve">Potencia y GEN </w:t>
      </w:r>
      <w:r>
        <w:rPr>
          <w:sz w:val="24"/>
          <w:szCs w:val="24"/>
        </w:rPr>
        <w:t>en uso de las atribuciones conferidas por la Ley Orgánica de las Municipalidades, proponen el siguiente:</w:t>
      </w:r>
    </w:p>
    <w:p w14:paraId="00000017" w14:textId="77777777" w:rsidR="00DD7AFB" w:rsidRDefault="006A366E" w:rsidP="00A82529">
      <w:pPr>
        <w:pStyle w:val="Ttulo1"/>
        <w:keepNext w:val="0"/>
        <w:keepLines w:val="0"/>
        <w:spacing w:before="480"/>
        <w:jc w:val="center"/>
        <w:rPr>
          <w:b/>
          <w:bCs/>
          <w:sz w:val="24"/>
          <w:szCs w:val="24"/>
        </w:rPr>
      </w:pPr>
      <w:bookmarkStart w:id="5" w:name="_jv41k2kxb80w" w:colFirst="0" w:colLast="0"/>
      <w:bookmarkEnd w:id="5"/>
      <w:r>
        <w:rPr>
          <w:b/>
          <w:bCs/>
          <w:sz w:val="24"/>
          <w:szCs w:val="24"/>
        </w:rPr>
        <w:t>PROYECTO DE ORDENANZA</w:t>
      </w:r>
    </w:p>
    <w:p w14:paraId="00000019" w14:textId="422B27D5" w:rsidR="00DD7AFB" w:rsidRPr="00A82529" w:rsidRDefault="006A366E" w:rsidP="00A82529">
      <w:pPr>
        <w:pStyle w:val="Ttulo2"/>
        <w:keepNext w:val="0"/>
        <w:keepLines w:val="0"/>
        <w:spacing w:after="80"/>
        <w:jc w:val="both"/>
        <w:rPr>
          <w:b/>
          <w:bCs/>
          <w:sz w:val="24"/>
          <w:szCs w:val="24"/>
        </w:rPr>
      </w:pPr>
      <w:bookmarkStart w:id="6" w:name="_sydvmpuc9hh8" w:colFirst="0" w:colLast="0"/>
      <w:bookmarkEnd w:id="6"/>
      <w:r>
        <w:rPr>
          <w:b/>
          <w:bCs/>
          <w:sz w:val="24"/>
          <w:szCs w:val="24"/>
        </w:rPr>
        <w:t>ARTÍCULO 1°</w:t>
      </w:r>
      <w:r w:rsidR="00A82529">
        <w:rPr>
          <w:b/>
          <w:bCs/>
          <w:sz w:val="24"/>
          <w:szCs w:val="24"/>
        </w:rPr>
        <w:t xml:space="preserve">. </w:t>
      </w:r>
      <w:r>
        <w:rPr>
          <w:sz w:val="24"/>
          <w:szCs w:val="24"/>
        </w:rPr>
        <w:t>Dispóngase la colocación de cartelería informativa con códigos QR en todas las dependencias policiales con atención al público del partido de Chascomús, incluyendo comisarías, subcomisarías, destacamentos y demás oficinas policiales de recepción de denuncias o atención ciudadana, destinada a facilitar el acceso directo a los canales oficiales de:</w:t>
      </w:r>
    </w:p>
    <w:p w14:paraId="0000001A" w14:textId="77777777" w:rsidR="00DD7AFB" w:rsidRDefault="006A366E" w:rsidP="00DA3882">
      <w:pPr>
        <w:spacing w:before="240" w:after="240"/>
        <w:rPr>
          <w:sz w:val="24"/>
          <w:szCs w:val="24"/>
        </w:rPr>
      </w:pPr>
      <w:r>
        <w:rPr>
          <w:sz w:val="24"/>
          <w:szCs w:val="24"/>
        </w:rPr>
        <w:t>a) denuncia penal online;</w:t>
      </w:r>
      <w:r>
        <w:rPr>
          <w:sz w:val="24"/>
          <w:szCs w:val="24"/>
        </w:rPr>
        <w:br/>
        <w:t>b) denuncia administrativa ante posibles irregularidades cometidas por funcionarios policiales.</w:t>
      </w:r>
    </w:p>
    <w:p w14:paraId="0000001C" w14:textId="4DCE40D4" w:rsidR="00DD7AFB" w:rsidRPr="00A82529" w:rsidRDefault="006A366E" w:rsidP="00A82529">
      <w:pPr>
        <w:pStyle w:val="Ttulo2"/>
        <w:keepNext w:val="0"/>
        <w:keepLines w:val="0"/>
        <w:spacing w:after="80"/>
        <w:jc w:val="both"/>
        <w:rPr>
          <w:b/>
          <w:bCs/>
          <w:sz w:val="24"/>
          <w:szCs w:val="24"/>
        </w:rPr>
      </w:pPr>
      <w:bookmarkStart w:id="7" w:name="_9fyc4ae0hl7p" w:colFirst="0" w:colLast="0"/>
      <w:bookmarkEnd w:id="7"/>
      <w:r>
        <w:rPr>
          <w:b/>
          <w:bCs/>
          <w:sz w:val="24"/>
          <w:szCs w:val="24"/>
        </w:rPr>
        <w:t>ARTÍCULO 2°</w:t>
      </w:r>
      <w:r w:rsidR="00A82529">
        <w:rPr>
          <w:b/>
          <w:bCs/>
          <w:sz w:val="24"/>
          <w:szCs w:val="24"/>
        </w:rPr>
        <w:t xml:space="preserve">. </w:t>
      </w:r>
      <w:r>
        <w:rPr>
          <w:sz w:val="24"/>
          <w:szCs w:val="24"/>
        </w:rPr>
        <w:t>La cartelería destinada a denuncia penal deberá contener, como mínimo:</w:t>
      </w:r>
    </w:p>
    <w:p w14:paraId="0000001D" w14:textId="77777777" w:rsidR="00DD7AFB" w:rsidRDefault="006A366E">
      <w:pPr>
        <w:spacing w:before="240" w:after="240"/>
        <w:jc w:val="both"/>
        <w:rPr>
          <w:sz w:val="24"/>
          <w:szCs w:val="24"/>
        </w:rPr>
      </w:pPr>
      <w:r>
        <w:rPr>
          <w:sz w:val="24"/>
          <w:szCs w:val="24"/>
        </w:rPr>
        <w:t>a) información relativa a los distintos canales oficiales habilitados para efectuar denuncias penales, incluyendo denuncia online, comisaría y fiscalía de turno;</w:t>
      </w:r>
    </w:p>
    <w:p w14:paraId="0000001E" w14:textId="77777777" w:rsidR="00DD7AFB" w:rsidRDefault="006A366E">
      <w:pPr>
        <w:spacing w:before="240" w:after="240"/>
        <w:jc w:val="both"/>
        <w:rPr>
          <w:sz w:val="24"/>
          <w:szCs w:val="24"/>
        </w:rPr>
      </w:pPr>
      <w:r>
        <w:rPr>
          <w:sz w:val="24"/>
          <w:szCs w:val="24"/>
        </w:rPr>
        <w:t>b) un código QR que dirija a la plataforma oficial “Mi Seguridad” del Ministerio de Seguridad de la Provincia de Buenos Aires o aquella que en el futuro la reemplace;</w:t>
      </w:r>
    </w:p>
    <w:p w14:paraId="0000001F" w14:textId="77777777" w:rsidR="00DD7AFB" w:rsidRDefault="006A366E">
      <w:pPr>
        <w:spacing w:before="240" w:after="240"/>
        <w:jc w:val="both"/>
        <w:rPr>
          <w:sz w:val="24"/>
          <w:szCs w:val="24"/>
        </w:rPr>
      </w:pPr>
      <w:r>
        <w:rPr>
          <w:sz w:val="24"/>
          <w:szCs w:val="24"/>
        </w:rPr>
        <w:t>c) información relativa a la posibilidad de efectuar denuncias anónimas en los casos previstos por la normativa vigente.</w:t>
      </w:r>
    </w:p>
    <w:p w14:paraId="00000021" w14:textId="0B6F248E" w:rsidR="00DD7AFB" w:rsidRPr="00A82529" w:rsidRDefault="006A366E" w:rsidP="00A82529">
      <w:pPr>
        <w:pStyle w:val="Ttulo2"/>
        <w:keepNext w:val="0"/>
        <w:keepLines w:val="0"/>
        <w:spacing w:after="80"/>
        <w:jc w:val="both"/>
        <w:rPr>
          <w:b/>
          <w:bCs/>
          <w:sz w:val="24"/>
          <w:szCs w:val="24"/>
        </w:rPr>
      </w:pPr>
      <w:bookmarkStart w:id="8" w:name="_opb1086g38cd" w:colFirst="0" w:colLast="0"/>
      <w:bookmarkEnd w:id="8"/>
      <w:r>
        <w:rPr>
          <w:b/>
          <w:bCs/>
          <w:sz w:val="24"/>
          <w:szCs w:val="24"/>
        </w:rPr>
        <w:t>ARTÍCULO 3°</w:t>
      </w:r>
      <w:r w:rsidR="00A82529">
        <w:rPr>
          <w:b/>
          <w:bCs/>
          <w:sz w:val="24"/>
          <w:szCs w:val="24"/>
        </w:rPr>
        <w:t xml:space="preserve">. </w:t>
      </w:r>
      <w:r>
        <w:rPr>
          <w:sz w:val="24"/>
          <w:szCs w:val="24"/>
        </w:rPr>
        <w:t>La cartelería destinada a denuncias por irregularidades policiales deberá contener, como mínimo:</w:t>
      </w:r>
    </w:p>
    <w:p w14:paraId="00000022" w14:textId="77777777" w:rsidR="00DD7AFB" w:rsidRDefault="006A366E">
      <w:pPr>
        <w:spacing w:before="240" w:after="240"/>
        <w:jc w:val="both"/>
        <w:rPr>
          <w:sz w:val="24"/>
          <w:szCs w:val="24"/>
        </w:rPr>
      </w:pPr>
      <w:r>
        <w:rPr>
          <w:sz w:val="24"/>
          <w:szCs w:val="24"/>
        </w:rPr>
        <w:t>a) información relativa a la posibilidad de denunciar irregularidades, incumplimientos funcionales o abusos cometidos por funcionarios policiales;</w:t>
      </w:r>
    </w:p>
    <w:p w14:paraId="00000023" w14:textId="77777777" w:rsidR="00DD7AFB" w:rsidRDefault="006A366E">
      <w:pPr>
        <w:spacing w:before="240" w:after="240"/>
        <w:jc w:val="both"/>
        <w:rPr>
          <w:sz w:val="24"/>
          <w:szCs w:val="24"/>
        </w:rPr>
      </w:pPr>
      <w:r>
        <w:rPr>
          <w:sz w:val="24"/>
          <w:szCs w:val="24"/>
        </w:rPr>
        <w:t>b) ejemplos ilustrativos de conductas susceptibles de denuncia;</w:t>
      </w:r>
    </w:p>
    <w:p w14:paraId="00000024" w14:textId="77777777" w:rsidR="00DD7AFB" w:rsidRDefault="006A366E">
      <w:pPr>
        <w:spacing w:before="240" w:after="240"/>
        <w:jc w:val="both"/>
        <w:rPr>
          <w:sz w:val="24"/>
          <w:szCs w:val="24"/>
        </w:rPr>
      </w:pPr>
      <w:r>
        <w:rPr>
          <w:sz w:val="24"/>
          <w:szCs w:val="24"/>
        </w:rPr>
        <w:t>c) un código QR que dirija a los canales oficiales de la Auditoría General de Asuntos Internos del Ministerio de Seguridad de la Provincia de Buenos Aires o aquellos que en el futuro los reemplacen;</w:t>
      </w:r>
    </w:p>
    <w:p w14:paraId="00000025" w14:textId="77777777" w:rsidR="00DD7AFB" w:rsidRDefault="006A366E">
      <w:pPr>
        <w:spacing w:before="240" w:after="240"/>
        <w:jc w:val="both"/>
        <w:rPr>
          <w:sz w:val="24"/>
          <w:szCs w:val="24"/>
        </w:rPr>
      </w:pPr>
      <w:r>
        <w:rPr>
          <w:sz w:val="24"/>
          <w:szCs w:val="24"/>
        </w:rPr>
        <w:lastRenderedPageBreak/>
        <w:t>d) información relativa a la posibilidad de efectuar denuncias anónimas conforme normativa vigente.</w:t>
      </w:r>
    </w:p>
    <w:p w14:paraId="00000027" w14:textId="139CBC03" w:rsidR="00DD7AFB" w:rsidRPr="00A82529" w:rsidRDefault="006A366E" w:rsidP="00A82529">
      <w:pPr>
        <w:pStyle w:val="Ttulo2"/>
        <w:keepNext w:val="0"/>
        <w:keepLines w:val="0"/>
        <w:spacing w:after="80"/>
        <w:jc w:val="both"/>
        <w:rPr>
          <w:b/>
          <w:bCs/>
          <w:sz w:val="24"/>
          <w:szCs w:val="24"/>
        </w:rPr>
      </w:pPr>
      <w:bookmarkStart w:id="9" w:name="_37seockwofam" w:colFirst="0" w:colLast="0"/>
      <w:bookmarkEnd w:id="9"/>
      <w:r>
        <w:rPr>
          <w:b/>
          <w:bCs/>
          <w:sz w:val="24"/>
          <w:szCs w:val="24"/>
        </w:rPr>
        <w:t>ARTÍCULO 4°</w:t>
      </w:r>
      <w:r w:rsidR="00A82529">
        <w:rPr>
          <w:b/>
          <w:bCs/>
          <w:sz w:val="24"/>
          <w:szCs w:val="24"/>
        </w:rPr>
        <w:t xml:space="preserve">. </w:t>
      </w:r>
      <w:r>
        <w:rPr>
          <w:sz w:val="24"/>
          <w:szCs w:val="24"/>
        </w:rPr>
        <w:t>Apruébase el modelo de cartelería que como ANEXO I y ANEXO II forman parte integrante de la presente ordenanza.</w:t>
      </w:r>
    </w:p>
    <w:p w14:paraId="00000029" w14:textId="4C079A91" w:rsidR="00DD7AFB" w:rsidRPr="00A82529" w:rsidRDefault="006A366E" w:rsidP="00A82529">
      <w:pPr>
        <w:pStyle w:val="Ttulo2"/>
        <w:keepNext w:val="0"/>
        <w:keepLines w:val="0"/>
        <w:spacing w:after="80"/>
        <w:jc w:val="both"/>
        <w:rPr>
          <w:b/>
          <w:bCs/>
          <w:sz w:val="24"/>
          <w:szCs w:val="24"/>
        </w:rPr>
      </w:pPr>
      <w:bookmarkStart w:id="10" w:name="_5jbptrpf6sti" w:colFirst="0" w:colLast="0"/>
      <w:bookmarkEnd w:id="10"/>
      <w:r>
        <w:rPr>
          <w:b/>
          <w:bCs/>
          <w:sz w:val="24"/>
          <w:szCs w:val="24"/>
        </w:rPr>
        <w:t>ARTÍCULO 5°</w:t>
      </w:r>
      <w:r w:rsidR="00A82529">
        <w:rPr>
          <w:b/>
          <w:bCs/>
          <w:sz w:val="24"/>
          <w:szCs w:val="24"/>
        </w:rPr>
        <w:t xml:space="preserve">. </w:t>
      </w:r>
      <w:r>
        <w:rPr>
          <w:sz w:val="24"/>
          <w:szCs w:val="24"/>
        </w:rPr>
        <w:t>La cartelería deberá ubicarse en lugares visibles y de fácil acceso para el público dentro de las dependencias alcanzadas por la presente ordenanza.</w:t>
      </w:r>
    </w:p>
    <w:p w14:paraId="0000002B" w14:textId="43197120" w:rsidR="00DD7AFB" w:rsidRPr="00A82529" w:rsidRDefault="006A366E" w:rsidP="00A82529">
      <w:pPr>
        <w:pStyle w:val="Ttulo2"/>
        <w:keepNext w:val="0"/>
        <w:keepLines w:val="0"/>
        <w:spacing w:after="80"/>
        <w:jc w:val="both"/>
        <w:rPr>
          <w:b/>
          <w:bCs/>
          <w:sz w:val="24"/>
          <w:szCs w:val="24"/>
        </w:rPr>
      </w:pPr>
      <w:bookmarkStart w:id="11" w:name="_yrivszkfd4g0" w:colFirst="0" w:colLast="0"/>
      <w:bookmarkEnd w:id="11"/>
      <w:r>
        <w:rPr>
          <w:b/>
          <w:bCs/>
          <w:sz w:val="24"/>
          <w:szCs w:val="24"/>
        </w:rPr>
        <w:t>ARTÍCULO 6°</w:t>
      </w:r>
      <w:r w:rsidR="00A82529">
        <w:rPr>
          <w:b/>
          <w:bCs/>
          <w:sz w:val="24"/>
          <w:szCs w:val="24"/>
        </w:rPr>
        <w:t xml:space="preserve">. </w:t>
      </w:r>
      <w:r>
        <w:rPr>
          <w:sz w:val="24"/>
          <w:szCs w:val="24"/>
        </w:rPr>
        <w:t>La autoridad de aplicación deberá mantener actualizados los códigos QR, enlaces, canales de acceso y demás información contenida en la cartelería aprobada por la presente ordenanza, pudiendo adecuar aspectos gráficos y de diseño, debiendo respetar el contenido mínimo establecido en los anexos.</w:t>
      </w:r>
    </w:p>
    <w:p w14:paraId="0000002D" w14:textId="3768874F" w:rsidR="00DD7AFB" w:rsidRPr="00A82529" w:rsidRDefault="006A366E" w:rsidP="00A82529">
      <w:pPr>
        <w:pStyle w:val="Ttulo2"/>
        <w:keepNext w:val="0"/>
        <w:keepLines w:val="0"/>
        <w:spacing w:after="80"/>
        <w:jc w:val="both"/>
        <w:rPr>
          <w:b/>
          <w:bCs/>
          <w:sz w:val="24"/>
          <w:szCs w:val="24"/>
        </w:rPr>
      </w:pPr>
      <w:bookmarkStart w:id="12" w:name="_ppu3g88vxbuy" w:colFirst="0" w:colLast="0"/>
      <w:bookmarkEnd w:id="12"/>
      <w:r>
        <w:rPr>
          <w:b/>
          <w:bCs/>
          <w:sz w:val="24"/>
          <w:szCs w:val="24"/>
        </w:rPr>
        <w:t>ARTÍCULO 7°</w:t>
      </w:r>
      <w:r w:rsidR="00A82529">
        <w:rPr>
          <w:b/>
          <w:bCs/>
          <w:sz w:val="24"/>
          <w:szCs w:val="24"/>
        </w:rPr>
        <w:t xml:space="preserve">. </w:t>
      </w:r>
      <w:r>
        <w:rPr>
          <w:sz w:val="24"/>
          <w:szCs w:val="24"/>
        </w:rPr>
        <w:t>De forma.</w:t>
      </w:r>
    </w:p>
    <w:p w14:paraId="0000002E" w14:textId="401BAFED" w:rsidR="00DD7AFB" w:rsidRDefault="00DD7AFB">
      <w:pPr>
        <w:jc w:val="both"/>
        <w:rPr>
          <w:sz w:val="24"/>
          <w:szCs w:val="24"/>
        </w:rPr>
      </w:pPr>
    </w:p>
    <w:p w14:paraId="0138E2DB" w14:textId="7E63912B" w:rsidR="00A82529" w:rsidRDefault="00A82529">
      <w:pPr>
        <w:jc w:val="both"/>
        <w:rPr>
          <w:sz w:val="24"/>
          <w:szCs w:val="24"/>
        </w:rPr>
      </w:pPr>
    </w:p>
    <w:p w14:paraId="4CC525DE" w14:textId="30FA4334" w:rsidR="00A82529" w:rsidRDefault="00A82529">
      <w:pPr>
        <w:jc w:val="both"/>
        <w:rPr>
          <w:sz w:val="24"/>
          <w:szCs w:val="24"/>
        </w:rPr>
      </w:pPr>
      <w:r w:rsidRPr="00A82529">
        <w:rPr>
          <w:noProof/>
          <w:sz w:val="24"/>
          <w:szCs w:val="24"/>
          <w:lang w:val="en-US" w:eastAsia="en-US"/>
        </w:rPr>
        <w:drawing>
          <wp:inline distT="0" distB="0" distL="0" distR="0" wp14:anchorId="0BF0F810" wp14:editId="6D70D65C">
            <wp:extent cx="5401310" cy="3601085"/>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01310" cy="3601085"/>
                    </a:xfrm>
                    <a:prstGeom prst="rect">
                      <a:avLst/>
                    </a:prstGeom>
                  </pic:spPr>
                </pic:pic>
              </a:graphicData>
            </a:graphic>
          </wp:inline>
        </w:drawing>
      </w:r>
    </w:p>
    <w:sectPr w:rsidR="00A82529">
      <w:headerReference w:type="even" r:id="rId7"/>
      <w:headerReference w:type="default" r:id="rId8"/>
      <w:footerReference w:type="even" r:id="rId9"/>
      <w:footerReference w:type="default" r:id="rId10"/>
      <w:headerReference w:type="first" r:id="rId11"/>
      <w:footerReference w:type="first" r:id="rId12"/>
      <w:pgSz w:w="11906" w:h="16838"/>
      <w:pgMar w:top="2834" w:right="566" w:bottom="1133" w:left="28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0C57C4" w14:textId="77777777" w:rsidR="00750531" w:rsidRDefault="00750531">
      <w:pPr>
        <w:spacing w:line="240" w:lineRule="auto"/>
      </w:pPr>
      <w:r>
        <w:separator/>
      </w:r>
    </w:p>
  </w:endnote>
  <w:endnote w:type="continuationSeparator" w:id="0">
    <w:p w14:paraId="20E33A60" w14:textId="77777777" w:rsidR="00750531" w:rsidRDefault="007505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2E17078-2599-4A1B-AC1C-319F1A1A4009}"/>
  </w:font>
  <w:font w:name="Cambria">
    <w:panose1 w:val="02040503050406030204"/>
    <w:charset w:val="00"/>
    <w:family w:val="roman"/>
    <w:pitch w:val="variable"/>
    <w:sig w:usb0="E00006FF" w:usb1="420024FF" w:usb2="02000000" w:usb3="00000000" w:csb0="0000019F" w:csb1="00000000"/>
    <w:embedRegular r:id="rId2" w:fontKey="{5F2F5E95-4866-40F7-8E2E-2A2A9E3C7C6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93935" w14:textId="77777777" w:rsidR="00A82529" w:rsidRDefault="00A82529">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83E4F" w14:textId="77777777" w:rsidR="00A82529" w:rsidRDefault="00A82529">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3F718" w14:textId="77777777" w:rsidR="00A82529" w:rsidRDefault="00A8252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2DE0AD" w14:textId="77777777" w:rsidR="00750531" w:rsidRDefault="00750531">
      <w:pPr>
        <w:spacing w:line="240" w:lineRule="auto"/>
      </w:pPr>
      <w:r>
        <w:separator/>
      </w:r>
    </w:p>
  </w:footnote>
  <w:footnote w:type="continuationSeparator" w:id="0">
    <w:p w14:paraId="06BB42FA" w14:textId="77777777" w:rsidR="00750531" w:rsidRDefault="0075053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95DA3" w14:textId="77777777" w:rsidR="00A82529" w:rsidRDefault="00A82529">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2F" w14:textId="77777777" w:rsidR="00DD7AFB" w:rsidRDefault="00DD7AFB"/>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63CD7" w14:textId="77777777" w:rsidR="00A82529" w:rsidRDefault="00A82529">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7AFB"/>
    <w:rsid w:val="003A1B33"/>
    <w:rsid w:val="005F00A1"/>
    <w:rsid w:val="006A366E"/>
    <w:rsid w:val="00750531"/>
    <w:rsid w:val="00A82529"/>
    <w:rsid w:val="00A82E11"/>
    <w:rsid w:val="00DA3882"/>
    <w:rsid w:val="00DD7AFB"/>
    <w:rsid w:val="00EB121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0F0B98"/>
  <w15:docId w15:val="{0CF45AC3-E6E5-47EC-BADF-A179C0D16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419" w:eastAsia="es-A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A82529"/>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A82529"/>
  </w:style>
  <w:style w:type="paragraph" w:styleId="Piedepgina">
    <w:name w:val="footer"/>
    <w:basedOn w:val="Normal"/>
    <w:link w:val="PiedepginaCar"/>
    <w:uiPriority w:val="99"/>
    <w:unhideWhenUsed/>
    <w:rsid w:val="00A82529"/>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A825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889</Words>
  <Characters>5072</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HCD Chascomús</dc:creator>
  <cp:lastModifiedBy>SIMM</cp:lastModifiedBy>
  <cp:revision>2</cp:revision>
  <dcterms:created xsi:type="dcterms:W3CDTF">2026-05-12T17:53:00Z</dcterms:created>
  <dcterms:modified xsi:type="dcterms:W3CDTF">2026-05-12T17:53:00Z</dcterms:modified>
</cp:coreProperties>
</file>