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C0329" w14:textId="36E97CEC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                   </w:t>
      </w:r>
      <w:r w:rsidR="00B863FA">
        <w:rPr>
          <w:rFonts w:ascii="Tahoma" w:eastAsia="Tahoma" w:hAnsi="Tahoma" w:cs="Tahoma"/>
          <w:sz w:val="22"/>
          <w:szCs w:val="22"/>
        </w:rPr>
        <w:tab/>
      </w:r>
      <w:r w:rsidR="00B863FA"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Chascomús, </w:t>
      </w:r>
      <w:r w:rsidR="00D87154">
        <w:rPr>
          <w:rFonts w:ascii="Tahoma" w:eastAsia="Tahoma" w:hAnsi="Tahoma" w:cs="Tahoma"/>
          <w:sz w:val="22"/>
          <w:szCs w:val="22"/>
        </w:rPr>
        <w:t>1</w:t>
      </w:r>
      <w:r w:rsidR="007F0E71">
        <w:rPr>
          <w:rFonts w:ascii="Tahoma" w:eastAsia="Tahoma" w:hAnsi="Tahoma" w:cs="Tahoma"/>
          <w:sz w:val="22"/>
          <w:szCs w:val="22"/>
        </w:rPr>
        <w:t>0</w:t>
      </w:r>
      <w:bookmarkStart w:id="0" w:name="_GoBack"/>
      <w:bookmarkEnd w:id="0"/>
      <w:r w:rsidR="00D87154">
        <w:rPr>
          <w:rFonts w:ascii="Tahoma" w:eastAsia="Tahoma" w:hAnsi="Tahoma" w:cs="Tahoma"/>
          <w:sz w:val="22"/>
          <w:szCs w:val="22"/>
        </w:rPr>
        <w:t xml:space="preserve"> de agost</w:t>
      </w:r>
      <w:r>
        <w:rPr>
          <w:rFonts w:ascii="Tahoma" w:eastAsia="Tahoma" w:hAnsi="Tahoma" w:cs="Tahoma"/>
          <w:sz w:val="22"/>
          <w:szCs w:val="22"/>
        </w:rPr>
        <w:t>o de 2026.</w:t>
      </w:r>
    </w:p>
    <w:p w14:paraId="3BC20E8B" w14:textId="79B7306A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Sr. Presidente del</w:t>
      </w:r>
    </w:p>
    <w:p w14:paraId="1EB4AB63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Honorable Concejo Deliberante</w:t>
      </w:r>
    </w:p>
    <w:p w14:paraId="141FB3FC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OSCAR FREDDY TOLEDO BARZOLA</w:t>
      </w:r>
    </w:p>
    <w:p w14:paraId="1F4874CF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>S          /           D</w:t>
      </w:r>
    </w:p>
    <w:p w14:paraId="39B5EDC2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</w:p>
    <w:p w14:paraId="136F0D09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De nuestra consideración:</w:t>
      </w:r>
    </w:p>
    <w:p w14:paraId="2653D8C7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Remitimos copia del presente proyecto para ser incluida en el orden del día de la próxima sesión.</w:t>
      </w:r>
    </w:p>
    <w:p w14:paraId="79B02135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</w:p>
    <w:p w14:paraId="74F6E310" w14:textId="39C7392E" w:rsidR="00BD6729" w:rsidRDefault="00D87154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>Regulación de accesos, señalización e instalación de elementos de restricción vehicular en la intersección del paseo peatonal, Costanera y Colón</w:t>
      </w:r>
      <w:r w:rsidR="00007923">
        <w:rPr>
          <w:rFonts w:ascii="Tahoma" w:eastAsia="Tahoma" w:hAnsi="Tahoma" w:cs="Tahoma"/>
          <w:sz w:val="22"/>
          <w:szCs w:val="22"/>
        </w:rPr>
        <w:t>.</w:t>
      </w:r>
    </w:p>
    <w:p w14:paraId="3E71E3E9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</w:p>
    <w:p w14:paraId="3241284E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VISTO</w:t>
      </w:r>
    </w:p>
    <w:p w14:paraId="08B3F6D4" w14:textId="3C79011E" w:rsidR="00BD6729" w:rsidRDefault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293BA2">
        <w:rPr>
          <w:rFonts w:ascii="Tahoma" w:eastAsia="Tahoma" w:hAnsi="Tahoma" w:cs="Tahoma"/>
          <w:color w:val="000000"/>
          <w:sz w:val="22"/>
          <w:szCs w:val="22"/>
        </w:rPr>
        <w:t>La problemática de seguridad vial originada por el ingreso ilegítimo de motocicletas al paseo peatonal en la intersección de Av.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Costanera y calle Colón</w:t>
      </w:r>
      <w:r w:rsidR="00007923">
        <w:rPr>
          <w:rFonts w:ascii="Tahoma" w:eastAsia="Tahoma" w:hAnsi="Tahoma" w:cs="Tahoma"/>
          <w:color w:val="000000"/>
          <w:sz w:val="22"/>
          <w:szCs w:val="22"/>
        </w:rPr>
        <w:t>; y</w:t>
      </w:r>
    </w:p>
    <w:p w14:paraId="7B10E938" w14:textId="77777777" w:rsidR="00BD6729" w:rsidRDefault="0000792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>CONSIDERANDO:</w:t>
      </w:r>
    </w:p>
    <w:p w14:paraId="613D33DE" w14:textId="7EFCE30C" w:rsidR="00293BA2" w:rsidRPr="00293BA2" w:rsidRDefault="00293BA2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293BA2">
        <w:rPr>
          <w:rFonts w:ascii="Tahoma" w:eastAsia="Tahoma" w:hAnsi="Tahoma" w:cs="Tahoma"/>
          <w:color w:val="000000"/>
          <w:sz w:val="22"/>
          <w:szCs w:val="22"/>
        </w:rPr>
        <w:t>Que el paseo peatonal es un espacio neurálgico de recreación familiar donde concurren a diario niño</w:t>
      </w:r>
      <w:r>
        <w:rPr>
          <w:rFonts w:ascii="Tahoma" w:eastAsia="Tahoma" w:hAnsi="Tahoma" w:cs="Tahoma"/>
          <w:color w:val="000000"/>
          <w:sz w:val="22"/>
          <w:szCs w:val="22"/>
        </w:rPr>
        <w:t>s</w:t>
      </w:r>
      <w:r w:rsidRPr="00293BA2">
        <w:rPr>
          <w:rFonts w:ascii="Tahoma" w:eastAsia="Tahoma" w:hAnsi="Tahoma" w:cs="Tahoma"/>
          <w:color w:val="000000"/>
          <w:sz w:val="22"/>
          <w:szCs w:val="22"/>
        </w:rPr>
        <w:t>, jóvenes y adultos.</w:t>
      </w:r>
    </w:p>
    <w:p w14:paraId="03FBB2C1" w14:textId="77777777" w:rsidR="00293BA2" w:rsidRPr="00293BA2" w:rsidRDefault="00293BA2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293BA2">
        <w:rPr>
          <w:rFonts w:ascii="Tahoma" w:eastAsia="Tahoma" w:hAnsi="Tahoma" w:cs="Tahoma"/>
          <w:color w:val="000000"/>
          <w:sz w:val="22"/>
          <w:szCs w:val="22"/>
        </w:rPr>
        <w:t>Que se ha constatado que diversos conductores de motocicletas utilizan el sector de Costanera y Colón como vía de entrada al paseo, aprovechando la ausencia de señalización restrictiva y de obstáculos físicos en dicho extremo.</w:t>
      </w:r>
    </w:p>
    <w:p w14:paraId="6A054730" w14:textId="77777777" w:rsidR="00293BA2" w:rsidRPr="00293BA2" w:rsidRDefault="00293BA2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293BA2">
        <w:rPr>
          <w:rFonts w:ascii="Tahoma" w:eastAsia="Tahoma" w:hAnsi="Tahoma" w:cs="Tahoma"/>
          <w:color w:val="000000"/>
          <w:sz w:val="22"/>
          <w:szCs w:val="22"/>
        </w:rPr>
        <w:t>Que esta conducta, además de configurar una infracción a las normas viales, pone en inminente riesgo la integridad física de los peatones.</w:t>
      </w:r>
    </w:p>
    <w:p w14:paraId="43DBB6EA" w14:textId="5BB09D0F" w:rsidR="00CE6DE2" w:rsidRDefault="00293BA2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293BA2">
        <w:rPr>
          <w:rFonts w:ascii="Tahoma" w:eastAsia="Tahoma" w:hAnsi="Tahoma" w:cs="Tahoma"/>
          <w:color w:val="000000"/>
          <w:sz w:val="22"/>
          <w:szCs w:val="22"/>
        </w:rPr>
        <w:lastRenderedPageBreak/>
        <w:t>Que resulta indispensable unificar la señalización y los elementos de restricción en todas las entradas y salidas del paseo para evitar vacíos que faciliten este t</w:t>
      </w:r>
      <w:r>
        <w:rPr>
          <w:rFonts w:ascii="Tahoma" w:eastAsia="Tahoma" w:hAnsi="Tahoma" w:cs="Tahoma"/>
          <w:color w:val="000000"/>
          <w:sz w:val="22"/>
          <w:szCs w:val="22"/>
        </w:rPr>
        <w:t>ipo de maniobras irresponsables</w:t>
      </w:r>
      <w:r w:rsidR="00CE6DE2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36857281" w14:textId="77777777" w:rsidR="00BD6729" w:rsidRDefault="0000792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Por ello, </w:t>
      </w: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 xml:space="preserve">los Bloques POTENCIA, y GEN </w:t>
      </w:r>
      <w:r>
        <w:rPr>
          <w:rFonts w:ascii="Tahoma" w:eastAsia="Tahoma" w:hAnsi="Tahoma" w:cs="Tahoma"/>
          <w:color w:val="000000"/>
          <w:sz w:val="22"/>
          <w:szCs w:val="22"/>
        </w:rPr>
        <w:t>en atribución a sus facultades que le confiere la Ley Orgánica de las Municipalidades, proponen el siguiente:</w:t>
      </w:r>
    </w:p>
    <w:p w14:paraId="388680CD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</w:p>
    <w:p w14:paraId="1B080C52" w14:textId="77777777" w:rsidR="00BD6729" w:rsidRDefault="00007923">
      <w:pPr>
        <w:spacing w:line="360" w:lineRule="auto"/>
        <w:jc w:val="center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>PROYECTO DE ORDENANZA</w:t>
      </w:r>
    </w:p>
    <w:p w14:paraId="1ECD6315" w14:textId="19E5AE94" w:rsidR="00BD6729" w:rsidRDefault="00007923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Artículo 1°: </w:t>
      </w:r>
      <w:r w:rsidR="00293BA2" w:rsidRPr="00293BA2">
        <w:rPr>
          <w:rFonts w:ascii="Tahoma" w:eastAsia="Tahoma" w:hAnsi="Tahoma" w:cs="Tahoma"/>
          <w:sz w:val="22"/>
          <w:szCs w:val="22"/>
        </w:rPr>
        <w:t>Se sirva disponer, a través del área correspondiente, la colocación urgente de cartelería indicativa de "Prohibido ingresar" / "Contramano" y "Sector Exclusivo Peatonal" en la intersección de la Avenida Costanera y la calle Colón</w:t>
      </w:r>
      <w:r w:rsidR="00CE6DE2" w:rsidRPr="00CE6DE2">
        <w:rPr>
          <w:rFonts w:ascii="Tahoma" w:eastAsia="Tahoma" w:hAnsi="Tahoma" w:cs="Tahoma"/>
          <w:sz w:val="22"/>
          <w:szCs w:val="22"/>
        </w:rPr>
        <w:t>.</w:t>
      </w:r>
    </w:p>
    <w:p w14:paraId="485EE66F" w14:textId="01DA502C" w:rsidR="00BD6729" w:rsidRDefault="00007923" w:rsidP="00293BA2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Artículo 2°: </w:t>
      </w:r>
      <w:r w:rsidR="00293BA2" w:rsidRPr="00293BA2">
        <w:rPr>
          <w:rFonts w:ascii="Tahoma" w:eastAsia="Tahoma" w:hAnsi="Tahoma" w:cs="Tahoma"/>
          <w:sz w:val="22"/>
          <w:szCs w:val="22"/>
        </w:rPr>
        <w:t xml:space="preserve">Se evalúe la colocación de pretiles, bolardos u otros elementos arquitectónicos de separación que impidan físicamente el paso de motocicletas al paseo peatonal, garantizando únicamente la accesibilidad peatonal y de </w:t>
      </w:r>
      <w:r w:rsidR="00293BA2">
        <w:rPr>
          <w:rFonts w:ascii="Tahoma" w:eastAsia="Tahoma" w:hAnsi="Tahoma" w:cs="Tahoma"/>
          <w:sz w:val="22"/>
          <w:szCs w:val="22"/>
        </w:rPr>
        <w:t>personas con movilidad reducida</w:t>
      </w:r>
      <w:r>
        <w:rPr>
          <w:rFonts w:ascii="Tahoma" w:eastAsia="Tahoma" w:hAnsi="Tahoma" w:cs="Tahoma"/>
          <w:sz w:val="22"/>
          <w:szCs w:val="22"/>
        </w:rPr>
        <w:t>.</w:t>
      </w:r>
    </w:p>
    <w:p w14:paraId="5106247D" w14:textId="4EC492AA" w:rsidR="00BD6729" w:rsidRDefault="00CE6DE2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Artículo 3°: </w:t>
      </w:r>
      <w:r>
        <w:rPr>
          <w:rFonts w:ascii="Tahoma" w:eastAsia="Tahoma" w:hAnsi="Tahoma" w:cs="Tahoma"/>
          <w:sz w:val="22"/>
          <w:szCs w:val="22"/>
        </w:rPr>
        <w:t>De forma.</w:t>
      </w:r>
    </w:p>
    <w:p w14:paraId="73B2C0A0" w14:textId="77777777" w:rsidR="00BD6729" w:rsidRDefault="00BD6729">
      <w:pPr>
        <w:spacing w:before="280" w:line="360" w:lineRule="auto"/>
        <w:jc w:val="both"/>
        <w:rPr>
          <w:sz w:val="22"/>
          <w:szCs w:val="22"/>
        </w:rPr>
      </w:pPr>
    </w:p>
    <w:sectPr w:rsidR="00BD6729">
      <w:headerReference w:type="even" r:id="rId7"/>
      <w:headerReference w:type="default" r:id="rId8"/>
      <w:footerReference w:type="even" r:id="rId9"/>
      <w:footerReference w:type="default" r:id="rId10"/>
      <w:pgSz w:w="11907" w:h="16839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E424B" w14:textId="77777777" w:rsidR="00B211F2" w:rsidRDefault="00B211F2">
      <w:r>
        <w:separator/>
      </w:r>
    </w:p>
  </w:endnote>
  <w:endnote w:type="continuationSeparator" w:id="0">
    <w:p w14:paraId="3BD09553" w14:textId="77777777" w:rsidR="00B211F2" w:rsidRDefault="00B2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60AF73D-5ADD-4CC2-B9FE-AF6060A7E8E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C07FEE88-BCBE-481F-A7A5-5F7B399DF60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4D19597-F478-4CD3-B38B-A0B8F83DFB76}"/>
    <w:embedBold r:id="rId4" w:fontKey="{A7791D60-830E-480E-B60F-B0D35E8CDD2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5" w:fontKey="{2613A53F-DFC5-4496-8739-B0958EC14F91}"/>
    <w:embedBoldItalic r:id="rId6" w:fontKey="{E3C300EA-639B-4676-B957-97E42C21AC2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7" w:fontKey="{948688AC-9570-4EBC-A9B7-D08BF551BCD1}"/>
  </w:font>
  <w:font w:name="Gentium Bas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940F3D60-0FA2-41BE-B380-8EB741C19E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FC513D3-EE68-446C-95BC-D32CBDB0BF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0CE3C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114906A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9E780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F0E71">
      <w:rPr>
        <w:noProof/>
        <w:color w:val="000000"/>
      </w:rPr>
      <w:t>2</w:t>
    </w:r>
    <w:r>
      <w:rPr>
        <w:color w:val="000000"/>
      </w:rPr>
      <w:fldChar w:fldCharType="end"/>
    </w:r>
  </w:p>
  <w:p w14:paraId="1E52C8C8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3FC99" w14:textId="77777777" w:rsidR="00B211F2" w:rsidRDefault="00B211F2">
      <w:r>
        <w:separator/>
      </w:r>
    </w:p>
  </w:footnote>
  <w:footnote w:type="continuationSeparator" w:id="0">
    <w:p w14:paraId="29A4375F" w14:textId="77777777" w:rsidR="00B211F2" w:rsidRDefault="00B21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DDF30" w14:textId="77777777" w:rsidR="00BD6729" w:rsidRDefault="00007923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eastAsia="es-AR"/>
      </w:rPr>
      <w:drawing>
        <wp:inline distT="0" distB="0" distL="0" distR="0" wp14:anchorId="0F4B0122" wp14:editId="4B772023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D801D7" w14:textId="77777777" w:rsidR="00BD6729" w:rsidRDefault="00007923">
    <w:pPr>
      <w:keepNext/>
      <w:jc w:val="center"/>
      <w:rPr>
        <w:rFonts w:ascii="Garamond" w:eastAsia="Garamond" w:hAnsi="Garamond" w:cs="Garamond"/>
        <w:b/>
        <w:bCs/>
        <w:color w:val="000000"/>
        <w:sz w:val="22"/>
        <w:szCs w:val="22"/>
      </w:rPr>
    </w:pPr>
    <w:r>
      <w:rPr>
        <w:rFonts w:ascii="Garamond" w:eastAsia="Garamond" w:hAnsi="Garamond" w:cs="Garamond"/>
        <w:b/>
        <w:bCs/>
        <w:color w:val="000000"/>
        <w:sz w:val="22"/>
        <w:szCs w:val="22"/>
      </w:rPr>
      <w:t>Honorable Concejo Deliberante</w:t>
    </w:r>
  </w:p>
  <w:p w14:paraId="44CB60EF" w14:textId="77777777" w:rsidR="00BD6729" w:rsidRDefault="00007923">
    <w:pPr>
      <w:keepNext/>
      <w:jc w:val="center"/>
      <w:rPr>
        <w:rFonts w:ascii="Garamond" w:eastAsia="Garamond" w:hAnsi="Garamond" w:cs="Garamond"/>
        <w:b/>
        <w:bCs/>
        <w:color w:val="000000"/>
        <w:sz w:val="22"/>
        <w:szCs w:val="22"/>
      </w:rPr>
    </w:pPr>
    <w:r>
      <w:rPr>
        <w:rFonts w:ascii="Garamond" w:eastAsia="Garamond" w:hAnsi="Garamond" w:cs="Garamond"/>
        <w:b/>
        <w:bCs/>
        <w:color w:val="000000"/>
        <w:sz w:val="22"/>
        <w:szCs w:val="22"/>
      </w:rPr>
      <w:t>Mitre 38    -    Chascomús</w:t>
    </w:r>
  </w:p>
  <w:p w14:paraId="495283C5" w14:textId="77777777" w:rsidR="00BD6729" w:rsidRDefault="00007923">
    <w:pPr>
      <w:jc w:val="center"/>
      <w:rPr>
        <w:rFonts w:ascii="Arial Black" w:eastAsia="Arial Black" w:hAnsi="Arial Black" w:cs="Arial Black"/>
        <w:sz w:val="22"/>
        <w:szCs w:val="22"/>
      </w:rPr>
    </w:pPr>
    <w:r>
      <w:rPr>
        <w:rFonts w:ascii="Arial Black" w:eastAsia="Arial Black" w:hAnsi="Arial Black" w:cs="Arial Black"/>
        <w:sz w:val="22"/>
        <w:szCs w:val="22"/>
      </w:rPr>
      <w:t>BLOQUE UCR Y CAMBIEMOS CHASCOMUS</w:t>
    </w:r>
  </w:p>
  <w:p w14:paraId="7D95F953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bCs/>
        <w:color w:val="000000"/>
      </w:rPr>
    </w:pPr>
    <w:r>
      <w:rPr>
        <w:b/>
        <w:bCs/>
        <w:color w:val="000000"/>
      </w:rPr>
      <w:t>“Año 2022 Las Malvinas son Argentinas. 40 años, Soberanía, Homenaje y Respeto”</w:t>
    </w:r>
  </w:p>
  <w:p w14:paraId="7D8AE068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7637C" w14:textId="77777777" w:rsidR="00BD6729" w:rsidRDefault="00007923">
    <w:pPr>
      <w:ind w:left="170"/>
      <w:jc w:val="center"/>
      <w:rPr>
        <w:rFonts w:ascii="Gentium Basic" w:eastAsia="Gentium Basic" w:hAnsi="Gentium Basic" w:cs="Gentium Basic"/>
        <w:color w:val="000000"/>
        <w:sz w:val="20"/>
        <w:szCs w:val="20"/>
      </w:rPr>
    </w:pPr>
    <w:r>
      <w:rPr>
        <w:rFonts w:ascii="Gentium Basic" w:eastAsia="Gentium Basic" w:hAnsi="Gentium Basic" w:cs="Gentium Basic"/>
        <w:noProof/>
        <w:color w:val="000000"/>
        <w:sz w:val="20"/>
        <w:szCs w:val="20"/>
        <w:lang w:eastAsia="es-AR"/>
      </w:rPr>
      <w:drawing>
        <wp:inline distT="0" distB="0" distL="0" distR="0" wp14:anchorId="3418ADB1" wp14:editId="31CC2403">
          <wp:extent cx="695325" cy="600075"/>
          <wp:effectExtent l="0" t="0" r="0" b="0"/>
          <wp:docPr id="2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B06AC2" w14:textId="77777777" w:rsidR="00BD6729" w:rsidRDefault="00007923">
    <w:pPr>
      <w:keepNext/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Honorable Concejo Deliberante</w:t>
    </w:r>
  </w:p>
  <w:p w14:paraId="1DFC5EBC" w14:textId="77777777" w:rsidR="00BD6729" w:rsidRDefault="00007923">
    <w:pPr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Mitre 38 -    Chascomús</w:t>
    </w:r>
  </w:p>
  <w:p w14:paraId="75CB05FF" w14:textId="77777777" w:rsidR="00BD6729" w:rsidRDefault="00007923">
    <w:pPr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Bloques POTENCIA - GEN</w:t>
    </w:r>
  </w:p>
  <w:p w14:paraId="08B1EE38" w14:textId="77777777" w:rsidR="00BD6729" w:rsidRDefault="00007923">
    <w:pPr>
      <w:ind w:left="170"/>
      <w:jc w:val="center"/>
      <w:rPr>
        <w:b/>
        <w:bCs/>
      </w:rPr>
    </w:pPr>
    <w:r>
      <w:rPr>
        <w:b/>
        <w:bCs/>
        <w:color w:val="000000"/>
        <w:sz w:val="22"/>
        <w:szCs w:val="22"/>
      </w:rPr>
      <w:t>“</w:t>
    </w:r>
    <w:r>
      <w:rPr>
        <w:b/>
        <w:bCs/>
        <w:sz w:val="22"/>
        <w:szCs w:val="22"/>
      </w:rPr>
      <w:t>2026: Año del 200° Aniversario de la Escuela Primaria N° 1 “Bernardino Rivadavia”</w:t>
    </w:r>
  </w:p>
  <w:p w14:paraId="2D0C8115" w14:textId="77777777" w:rsidR="00BD6729" w:rsidRDefault="00BD6729">
    <w:pPr>
      <w:jc w:val="center"/>
      <w:rPr>
        <w:b/>
        <w:bCs/>
        <w:sz w:val="22"/>
        <w:szCs w:val="22"/>
      </w:rPr>
    </w:pPr>
  </w:p>
  <w:p w14:paraId="53C0D8F2" w14:textId="77777777" w:rsidR="00BD6729" w:rsidRDefault="00BD6729">
    <w:pPr>
      <w:jc w:val="center"/>
      <w:rPr>
        <w:rFonts w:ascii="Garamond" w:eastAsia="Garamond" w:hAnsi="Garamond" w:cs="Garamond"/>
        <w:b/>
        <w:bCs/>
        <w:i/>
        <w:i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29"/>
    <w:rsid w:val="00007923"/>
    <w:rsid w:val="00293BA2"/>
    <w:rsid w:val="007F0E71"/>
    <w:rsid w:val="00966070"/>
    <w:rsid w:val="00B211F2"/>
    <w:rsid w:val="00B863FA"/>
    <w:rsid w:val="00BD6729"/>
    <w:rsid w:val="00CE6DE2"/>
    <w:rsid w:val="00D8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58FA"/>
  <w15:docId w15:val="{BD172B06-B021-48FB-95D7-069BF12B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71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iZNkZu+W+p5cRNssuGfXp3iG8g==">CgMxLjA4AHIhMWNOWmNfcDlhb0RQWEpRc2FhblE5N2JwWUROclJQdUZL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3</cp:revision>
  <cp:lastPrinted>2026-08-03T14:47:00Z</cp:lastPrinted>
  <dcterms:created xsi:type="dcterms:W3CDTF">2026-08-05T12:21:00Z</dcterms:created>
  <dcterms:modified xsi:type="dcterms:W3CDTF">2026-08-10T14:28:00Z</dcterms:modified>
</cp:coreProperties>
</file>