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F9AF91E" w:rsidR="00BB0BFB" w:rsidRDefault="001F1FA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Chascomús, 21 de </w:t>
      </w:r>
      <w:r w:rsidR="00F83B74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ctubre de 2025</w:t>
      </w:r>
    </w:p>
    <w:p w14:paraId="00000002" w14:textId="77777777" w:rsidR="00BB0BFB" w:rsidRDefault="00BB0BF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right"/>
        <w:rPr>
          <w:rFonts w:ascii="Arial" w:eastAsia="Arial" w:hAnsi="Arial" w:cs="Arial"/>
          <w:sz w:val="24"/>
          <w:szCs w:val="24"/>
        </w:rPr>
      </w:pPr>
    </w:p>
    <w:p w14:paraId="00000003" w14:textId="36BAA9CE" w:rsidR="00BB0BFB" w:rsidRDefault="001F1FA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00F83B74">
        <w:rPr>
          <w:rFonts w:ascii="Arial" w:eastAsia="Arial" w:hAnsi="Arial" w:cs="Arial"/>
          <w:b/>
          <w:sz w:val="24"/>
          <w:szCs w:val="24"/>
        </w:rPr>
        <w:t>T</w:t>
      </w:r>
      <w:r w:rsidR="00F83B74">
        <w:rPr>
          <w:rFonts w:ascii="Arial" w:eastAsia="Arial" w:hAnsi="Arial" w:cs="Arial"/>
          <w:b/>
          <w:sz w:val="24"/>
          <w:szCs w:val="24"/>
        </w:rPr>
        <w:t>í</w:t>
      </w:r>
      <w:r w:rsidRPr="00F83B74">
        <w:rPr>
          <w:rFonts w:ascii="Arial" w:eastAsia="Arial" w:hAnsi="Arial" w:cs="Arial"/>
          <w:b/>
          <w:sz w:val="24"/>
          <w:szCs w:val="24"/>
        </w:rPr>
        <w:t xml:space="preserve">tulo: </w:t>
      </w:r>
      <w:r>
        <w:rPr>
          <w:rFonts w:ascii="Arial" w:eastAsia="Arial" w:hAnsi="Arial" w:cs="Arial"/>
          <w:sz w:val="24"/>
          <w:szCs w:val="24"/>
        </w:rPr>
        <w:t xml:space="preserve">Beneplácito por la sanción de la Ley de “No corte de servicios esenciales” </w:t>
      </w:r>
    </w:p>
    <w:p w14:paraId="00000004" w14:textId="77777777" w:rsidR="00BB0BFB" w:rsidRDefault="00BB0BF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p w14:paraId="00000005" w14:textId="77777777" w:rsidR="00BB0BFB" w:rsidRPr="00F83B74" w:rsidRDefault="001F1FA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F83B74">
        <w:rPr>
          <w:rFonts w:ascii="Arial" w:eastAsia="Arial" w:hAnsi="Arial" w:cs="Arial"/>
          <w:b/>
          <w:color w:val="000000"/>
          <w:sz w:val="24"/>
          <w:szCs w:val="24"/>
        </w:rPr>
        <w:t>VISTO:</w:t>
      </w:r>
    </w:p>
    <w:p w14:paraId="00000006" w14:textId="77777777" w:rsidR="00BB0BFB" w:rsidRDefault="001F1FA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/>
        <w:t>El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Expediente D-1538/24-25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que contiene el proyecto de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Ley de “No Corte de Servicios Esenciales”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iniciativa impulsada por el diputado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Facundo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Tignanelli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cuya media sanción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fue aprobada por la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Honorable Cámara de Diputados de la Provincia de Buenos Aires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el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12 de diciembre de 2024</w:t>
      </w:r>
      <w:r>
        <w:rPr>
          <w:rFonts w:ascii="Arial" w:eastAsia="Arial" w:hAnsi="Arial" w:cs="Arial"/>
          <w:b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 obtuvo su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sanción definitiva el 2 de octubre de 2025.Y;</w:t>
      </w:r>
    </w:p>
    <w:p w14:paraId="00000007" w14:textId="77777777" w:rsidR="00BB0BFB" w:rsidRPr="00F83B74" w:rsidRDefault="001F1FA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  <w:r w:rsidRPr="00F83B74">
        <w:rPr>
          <w:rFonts w:ascii="Arial" w:eastAsia="Arial" w:hAnsi="Arial" w:cs="Arial"/>
          <w:b/>
          <w:color w:val="000000"/>
          <w:sz w:val="24"/>
          <w:szCs w:val="24"/>
        </w:rPr>
        <w:t>CONSIDERANDO:</w:t>
      </w:r>
    </w:p>
    <w:p w14:paraId="00000008" w14:textId="77777777" w:rsidR="00BB0BFB" w:rsidRDefault="001F1FA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 dicha norma garantiza la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continuidad de los servicios públicos básicos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-electricidad, gas, agua potable y servicios cloacales- en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hospitales, escuelas, clubes de barrio, municipios y asociaciones civiles sin fines de lucro aún ante la existencia de deudas impagas</w:t>
      </w:r>
      <w:r>
        <w:rPr>
          <w:rFonts w:ascii="Arial" w:eastAsia="Arial" w:hAnsi="Arial" w:cs="Arial"/>
          <w:b/>
          <w:color w:val="000000"/>
          <w:sz w:val="24"/>
          <w:szCs w:val="24"/>
        </w:rPr>
        <w:t>;</w:t>
      </w:r>
    </w:p>
    <w:p w14:paraId="00000009" w14:textId="77777777" w:rsidR="00BB0BFB" w:rsidRDefault="001F1FA6">
      <w:pPr>
        <w:spacing w:before="280" w:after="28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la mencionada ley constituye un avance fundamental en materia de derechos sociales y protección del entramado comunitario bonaerense, al reconocer que los servicios públicos esenciales son bienes indispensables para el desarrollo humano y el funcionamiento de las instituciones sociales, educativas y sanitarias, en un contexto socioeconómico de crisis.</w:t>
      </w:r>
    </w:p>
    <w:p w14:paraId="0000000A" w14:textId="77777777" w:rsidR="00BB0BFB" w:rsidRDefault="001F1FA6">
      <w:pPr>
        <w:spacing w:before="280" w:after="28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Que el incremento de las tarifas de los servicios básicos ha generado una grave afectación a la sostenibilidad económica de clubes, centros culturales, hospitales y escuelas, muchas de las cuales debieron recurrir a amparos judiciales para evitar la interrupción de los suministros.</w:t>
      </w:r>
    </w:p>
    <w:p w14:paraId="0000000B" w14:textId="77777777" w:rsidR="00BB0BFB" w:rsidRDefault="001F1FA6">
      <w:pPr>
        <w:spacing w:before="280" w:after="28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esta nueva ley prohíbe expresamente a las empresas prestatarias de electricidad, gas, agua y servicios cloacales cortar o interrumpir dichos servicios a las entidades mencionadas, extendiendo su alcance tanto a situaciones de deuda como a aquellas con aviso de corte, y obligando a las prestadoras a ofrecer planes de pago accesibles y en cuotas mensuales para regularizar las obligaciones pendientes.</w:t>
      </w:r>
    </w:p>
    <w:p w14:paraId="0000000C" w14:textId="77777777" w:rsidR="00BB0BFB" w:rsidRDefault="001F1FA6">
      <w:pPr>
        <w:spacing w:before="280" w:after="28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asimismo, la normativa prevé sanciones económicas para las empresas proveedoras que incumplan con lo dispuesto, otorgando al Poder Ejecutivo Provincial la facultad de fijar las multas correspondientes según la gravedad y reiteración de la infracción.</w:t>
      </w:r>
    </w:p>
    <w:p w14:paraId="0000000D" w14:textId="77777777" w:rsidR="00BB0BFB" w:rsidRDefault="001F1FA6">
      <w:pPr>
        <w:spacing w:before="280" w:after="28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la sanción de esta ley, aprobada por unanimidad refleja un consenso transversal en defensa del interés público, la solidaridad y la justicia social.</w:t>
      </w:r>
    </w:p>
    <w:p w14:paraId="0000000E" w14:textId="77777777" w:rsidR="00BB0BFB" w:rsidRDefault="001F1FA6">
      <w:pPr>
        <w:spacing w:before="280" w:after="28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el Honorable Concejo Deliberante de Chascomús celebra toda medida que tienda a garantizar el acceso equitativo a los servicios esenciales y a fortalecer el rol del Estado en la protección de las instituciones comunitarias en un contexto de crisis como el que estamos atravesando.</w:t>
      </w:r>
    </w:p>
    <w:p w14:paraId="0000000F" w14:textId="77777777" w:rsidR="00BB0BFB" w:rsidRDefault="001F1FA6">
      <w:pPr>
        <w:spacing w:before="280" w:after="28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 todo lo expuesto, los concejales de los bloques Unión por la Patria/PJ – Unión por la Patria/UXCH - UXCH – UXCH Frente de Todos proponen para su tratamiento y sanción la siguiente: </w:t>
      </w:r>
    </w:p>
    <w:p w14:paraId="00000010" w14:textId="77777777" w:rsidR="00BB0BFB" w:rsidRDefault="00BB0BFB">
      <w:pPr>
        <w:spacing w:before="280" w:after="28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1" w14:textId="6E55BFC8" w:rsidR="00BB0BFB" w:rsidRDefault="001F1FA6">
      <w:pPr>
        <w:spacing w:before="280" w:after="28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RESOLUCIÓN</w:t>
      </w:r>
    </w:p>
    <w:p w14:paraId="00000012" w14:textId="6AAB5470" w:rsidR="00BB0BFB" w:rsidRDefault="001F1FA6">
      <w:pPr>
        <w:spacing w:before="280" w:after="28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83B74">
        <w:rPr>
          <w:rFonts w:ascii="Arial" w:eastAsia="Arial" w:hAnsi="Arial" w:cs="Arial"/>
          <w:b/>
          <w:sz w:val="24"/>
          <w:szCs w:val="24"/>
        </w:rPr>
        <w:t>ARTÍCULO 1º</w:t>
      </w:r>
      <w:r w:rsidR="00F83B74"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El HCD de Chascomús expresa su Beneplácito por la sanción de la Ley Provincial de “No Corte de Servicios Esenciales” por su aporte a la protección de los derechos de las instituciones públicas, asociaciones civiles sin fines de lucro y usuarios bonaerenses.</w:t>
      </w:r>
    </w:p>
    <w:p w14:paraId="00000013" w14:textId="7CFCB5F9" w:rsidR="00BB0BFB" w:rsidRDefault="001F1FA6">
      <w:pPr>
        <w:spacing w:before="280" w:after="28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83B74">
        <w:rPr>
          <w:rFonts w:ascii="Arial" w:eastAsia="Arial" w:hAnsi="Arial" w:cs="Arial"/>
          <w:b/>
          <w:sz w:val="24"/>
          <w:szCs w:val="24"/>
        </w:rPr>
        <w:t>ARTÍCULO 2º</w:t>
      </w:r>
      <w:r w:rsidR="00F83B74"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Remítase copia de la presente Resolución a la Honorable Cámara de Diputados de la Provincia de Buenos Aires, al Honorable Senado de la Provincia de Buenos Aires, y los 134 Concejos Deliberantes de la provincia.</w:t>
      </w:r>
    </w:p>
    <w:p w14:paraId="00000014" w14:textId="54989799" w:rsidR="00BB0BFB" w:rsidRDefault="001F1FA6">
      <w:pPr>
        <w:spacing w:before="280" w:after="28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83B74">
        <w:rPr>
          <w:rFonts w:ascii="Arial" w:eastAsia="Arial" w:hAnsi="Arial" w:cs="Arial"/>
          <w:b/>
          <w:sz w:val="24"/>
          <w:szCs w:val="24"/>
        </w:rPr>
        <w:t>ARTÍCULO 3º</w:t>
      </w:r>
      <w:r>
        <w:rPr>
          <w:rFonts w:ascii="Arial" w:eastAsia="Arial" w:hAnsi="Arial" w:cs="Arial"/>
          <w:sz w:val="24"/>
          <w:szCs w:val="24"/>
        </w:rPr>
        <w:t xml:space="preserve"> De forma.</w:t>
      </w:r>
    </w:p>
    <w:p w14:paraId="00000015" w14:textId="77777777" w:rsidR="00BB0BFB" w:rsidRDefault="00BB0BFB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sectPr w:rsidR="00BB0BFB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4CEE" w14:textId="77777777" w:rsidR="00DF77C7" w:rsidRDefault="00DF77C7" w:rsidP="00F83B74">
      <w:pPr>
        <w:spacing w:after="0" w:line="240" w:lineRule="auto"/>
      </w:pPr>
      <w:r>
        <w:separator/>
      </w:r>
    </w:p>
  </w:endnote>
  <w:endnote w:type="continuationSeparator" w:id="0">
    <w:p w14:paraId="700A8FFC" w14:textId="77777777" w:rsidR="00DF77C7" w:rsidRDefault="00DF77C7" w:rsidP="00F8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as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6076" w14:textId="77777777" w:rsidR="00DF77C7" w:rsidRDefault="00DF77C7" w:rsidP="00F83B74">
      <w:pPr>
        <w:spacing w:after="0" w:line="240" w:lineRule="auto"/>
      </w:pPr>
      <w:r>
        <w:separator/>
      </w:r>
    </w:p>
  </w:footnote>
  <w:footnote w:type="continuationSeparator" w:id="0">
    <w:p w14:paraId="2CEC9865" w14:textId="77777777" w:rsidR="00DF77C7" w:rsidRDefault="00DF77C7" w:rsidP="00F8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358E" w14:textId="77777777" w:rsidR="00F83B74" w:rsidRPr="00F83B74" w:rsidRDefault="00F83B74" w:rsidP="00F83B74">
    <w:pPr>
      <w:spacing w:after="0" w:line="240" w:lineRule="auto"/>
      <w:ind w:left="170" w:firstLine="170"/>
      <w:jc w:val="center"/>
      <w:rPr>
        <w:rFonts w:ascii="Gentium Basic" w:eastAsia="Gentium Basic" w:hAnsi="Gentium Basic" w:cs="Gentium Basic"/>
        <w:color w:val="000000"/>
        <w:sz w:val="20"/>
        <w:szCs w:val="20"/>
        <w:lang w:val="es-AR" w:eastAsia="es-AR"/>
      </w:rPr>
    </w:pPr>
    <w:r w:rsidRPr="00F83B74">
      <w:rPr>
        <w:rFonts w:ascii="Gentium Basic" w:eastAsia="Gentium Basic" w:hAnsi="Gentium Basic" w:cs="Gentium Basic"/>
        <w:noProof/>
        <w:color w:val="000000"/>
        <w:sz w:val="20"/>
        <w:szCs w:val="20"/>
        <w:lang w:val="es-AR" w:eastAsia="es-AR"/>
      </w:rPr>
      <w:drawing>
        <wp:inline distT="0" distB="0" distL="114300" distR="114300" wp14:anchorId="19F1EE20" wp14:editId="71490EE0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1B77767" w14:textId="77777777" w:rsidR="00F83B74" w:rsidRPr="00F83B74" w:rsidRDefault="00F83B74" w:rsidP="00F83B74">
    <w:pPr>
      <w:keepNext/>
      <w:spacing w:after="0" w:line="240" w:lineRule="auto"/>
      <w:ind w:left="170" w:firstLine="170"/>
      <w:jc w:val="center"/>
      <w:rPr>
        <w:rFonts w:ascii="Times New Roman" w:eastAsia="Times New Roman" w:hAnsi="Times New Roman" w:cs="Times New Roman"/>
        <w:color w:val="000000"/>
        <w:lang w:val="es-AR" w:eastAsia="es-AR"/>
      </w:rPr>
    </w:pPr>
    <w:r w:rsidRPr="00F83B74">
      <w:rPr>
        <w:rFonts w:ascii="Times New Roman" w:eastAsia="Times New Roman" w:hAnsi="Times New Roman" w:cs="Times New Roman"/>
        <w:b/>
        <w:color w:val="000000"/>
        <w:lang w:val="es-AR" w:eastAsia="es-AR"/>
      </w:rPr>
      <w:t>Honorable Concejo Deliberante</w:t>
    </w:r>
  </w:p>
  <w:p w14:paraId="266C9D0F" w14:textId="77777777" w:rsidR="00F83B74" w:rsidRPr="00F83B74" w:rsidRDefault="00F83B74" w:rsidP="00F83B74">
    <w:pPr>
      <w:spacing w:after="0" w:line="240" w:lineRule="auto"/>
      <w:ind w:left="170" w:firstLine="170"/>
      <w:jc w:val="center"/>
      <w:rPr>
        <w:rFonts w:ascii="Times New Roman" w:eastAsia="Times New Roman" w:hAnsi="Times New Roman" w:cs="Times New Roman"/>
        <w:color w:val="000000"/>
        <w:lang w:val="es-AR" w:eastAsia="es-AR"/>
      </w:rPr>
    </w:pPr>
    <w:r w:rsidRPr="00F83B74">
      <w:rPr>
        <w:rFonts w:ascii="Times New Roman" w:eastAsia="Times New Roman" w:hAnsi="Times New Roman" w:cs="Times New Roman"/>
        <w:b/>
        <w:color w:val="000000"/>
        <w:lang w:val="es-AR" w:eastAsia="es-AR"/>
      </w:rPr>
      <w:t>Sarmiento 56    -    Chascomús</w:t>
    </w:r>
  </w:p>
  <w:p w14:paraId="2FD21EFE" w14:textId="77777777" w:rsidR="00F83B74" w:rsidRPr="00F83B74" w:rsidRDefault="00F83B74" w:rsidP="00F83B74">
    <w:pPr>
      <w:spacing w:after="0" w:line="240" w:lineRule="auto"/>
      <w:ind w:left="170" w:firstLine="170"/>
      <w:rPr>
        <w:rFonts w:ascii="Times New Roman" w:eastAsia="Times New Roman" w:hAnsi="Times New Roman" w:cs="Times New Roman"/>
        <w:color w:val="000000"/>
        <w:lang w:val="es-AR" w:eastAsia="es-AR"/>
      </w:rPr>
    </w:pPr>
    <w:bookmarkStart w:id="0" w:name="_30j0zll" w:colFirst="0" w:colLast="0"/>
    <w:bookmarkEnd w:id="0"/>
    <w:r w:rsidRPr="00F83B74">
      <w:rPr>
        <w:rFonts w:ascii="Times New Roman" w:eastAsia="Times New Roman" w:hAnsi="Times New Roman" w:cs="Times New Roman"/>
        <w:b/>
        <w:color w:val="000000"/>
        <w:lang w:val="es-AR" w:eastAsia="es-AR"/>
      </w:rPr>
      <w:t xml:space="preserve">                     Bloques Unión por la Patria/UXCH - Unión por la Patria/PJ</w:t>
    </w:r>
  </w:p>
  <w:p w14:paraId="2AFBC83F" w14:textId="77777777" w:rsidR="00F83B74" w:rsidRPr="00F83B74" w:rsidRDefault="00F83B74" w:rsidP="00F83B74">
    <w:pPr>
      <w:spacing w:after="0" w:line="240" w:lineRule="auto"/>
      <w:ind w:left="170" w:firstLine="170"/>
      <w:jc w:val="center"/>
      <w:rPr>
        <w:rFonts w:ascii="Times New Roman" w:eastAsia="Times New Roman" w:hAnsi="Times New Roman" w:cs="Times New Roman"/>
        <w:color w:val="000000"/>
        <w:lang w:val="es-AR" w:eastAsia="es-AR"/>
      </w:rPr>
    </w:pPr>
    <w:r w:rsidRPr="00F83B74">
      <w:rPr>
        <w:rFonts w:ascii="Times New Roman" w:eastAsia="Times New Roman" w:hAnsi="Times New Roman" w:cs="Times New Roman"/>
        <w:b/>
        <w:color w:val="000000"/>
        <w:lang w:val="es-AR" w:eastAsia="es-AR"/>
      </w:rPr>
      <w:t>“2024: Año del 225° Aniversario del fallecimiento del fundador de Chascomús –</w:t>
    </w:r>
  </w:p>
  <w:p w14:paraId="183DE7CA" w14:textId="77777777" w:rsidR="00F83B74" w:rsidRPr="00F83B74" w:rsidRDefault="00F83B74" w:rsidP="00F83B74">
    <w:pPr>
      <w:spacing w:after="0" w:line="240" w:lineRule="auto"/>
      <w:ind w:left="170" w:firstLine="170"/>
      <w:jc w:val="center"/>
      <w:rPr>
        <w:rFonts w:ascii="Cambria" w:eastAsia="Cambria" w:hAnsi="Cambria" w:cs="Cambria"/>
        <w:sz w:val="24"/>
        <w:szCs w:val="24"/>
        <w:lang w:val="es-AR" w:eastAsia="es-AR"/>
      </w:rPr>
    </w:pPr>
    <w:r w:rsidRPr="00F83B74">
      <w:rPr>
        <w:rFonts w:ascii="Times New Roman" w:eastAsia="Times New Roman" w:hAnsi="Times New Roman" w:cs="Times New Roman"/>
        <w:b/>
        <w:color w:val="000000"/>
        <w:lang w:val="es-AR" w:eastAsia="es-AR"/>
      </w:rPr>
      <w:t>Pedro Nicolás Escribano”</w:t>
    </w:r>
  </w:p>
  <w:p w14:paraId="0B23FB7A" w14:textId="77777777" w:rsidR="00F83B74" w:rsidRDefault="00F83B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FB"/>
    <w:rsid w:val="001F1FA6"/>
    <w:rsid w:val="006E4ED8"/>
    <w:rsid w:val="00BB0BFB"/>
    <w:rsid w:val="00DF77C7"/>
    <w:rsid w:val="00E10ED3"/>
    <w:rsid w:val="00F8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A6C3"/>
  <w15:docId w15:val="{94AB1CD2-4CDC-3248-9ABF-F2B00FFB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F83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B74"/>
  </w:style>
  <w:style w:type="paragraph" w:styleId="Piedepgina">
    <w:name w:val="footer"/>
    <w:basedOn w:val="Normal"/>
    <w:link w:val="PiedepginaCar"/>
    <w:uiPriority w:val="99"/>
    <w:unhideWhenUsed/>
    <w:rsid w:val="00F83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Concejo PC1</dc:creator>
  <cp:lastModifiedBy>Concejo PC1</cp:lastModifiedBy>
  <cp:revision>2</cp:revision>
  <dcterms:created xsi:type="dcterms:W3CDTF">2025-10-21T15:53:00Z</dcterms:created>
  <dcterms:modified xsi:type="dcterms:W3CDTF">2025-10-21T15:53:00Z</dcterms:modified>
</cp:coreProperties>
</file>